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5B6BBE" w14:textId="57410C53" w:rsidR="00892F38" w:rsidRPr="001177AF" w:rsidRDefault="00892F38" w:rsidP="00892F38">
      <w:pPr>
        <w:pStyle w:val="NormalWeb"/>
        <w:jc w:val="center"/>
        <w:rPr>
          <w:sz w:val="22"/>
          <w:szCs w:val="22"/>
          <w:lang w:val="en-GB"/>
        </w:rPr>
      </w:pPr>
      <w:r w:rsidRPr="001177AF">
        <w:rPr>
          <w:color w:val="000007"/>
          <w:lang w:val="en-GB"/>
        </w:rPr>
        <w:t>from the Institute for Neuroscience and Medicine</w:t>
      </w:r>
      <w:r w:rsidRPr="001177AF">
        <w:rPr>
          <w:color w:val="000007"/>
          <w:lang w:val="en-GB"/>
        </w:rPr>
        <w:br/>
        <w:t>at the Heinrich Heine University Düsseldorf</w:t>
      </w:r>
    </w:p>
    <w:p w14:paraId="141AE2AC" w14:textId="77777777" w:rsidR="00892F38" w:rsidRDefault="00892F38" w:rsidP="00892F38">
      <w:pPr>
        <w:pStyle w:val="Heading1"/>
        <w:rPr>
          <w:lang w:val="en-GB"/>
        </w:rPr>
      </w:pPr>
    </w:p>
    <w:p w14:paraId="6C1A4EE4" w14:textId="77777777" w:rsidR="00D64FA4" w:rsidRPr="001177AF" w:rsidRDefault="00D64FA4" w:rsidP="00892F38">
      <w:pPr>
        <w:pStyle w:val="Heading1"/>
        <w:rPr>
          <w:lang w:val="en-GB"/>
        </w:rPr>
      </w:pPr>
    </w:p>
    <w:p w14:paraId="003E8E9C" w14:textId="77777777" w:rsidR="001177AF" w:rsidRPr="001177AF" w:rsidRDefault="001177AF" w:rsidP="00892F38">
      <w:pPr>
        <w:pStyle w:val="Heading1"/>
        <w:rPr>
          <w:lang w:val="en-GB"/>
        </w:rPr>
      </w:pPr>
    </w:p>
    <w:p w14:paraId="6399BFE5" w14:textId="335C632A" w:rsidR="00EC66BC" w:rsidRPr="001177AF" w:rsidRDefault="00AB77E7" w:rsidP="009A0DA0">
      <w:pPr>
        <w:pStyle w:val="Heading1"/>
        <w:jc w:val="center"/>
        <w:rPr>
          <w:b w:val="0"/>
          <w:bCs w:val="0"/>
          <w:sz w:val="28"/>
          <w:szCs w:val="28"/>
          <w:lang w:val="en-GB"/>
        </w:rPr>
      </w:pPr>
      <w:bookmarkStart w:id="0" w:name="_Toc128592060"/>
      <w:bookmarkStart w:id="1" w:name="_Toc129681205"/>
      <w:bookmarkStart w:id="2" w:name="_Toc132320053"/>
      <w:bookmarkStart w:id="3" w:name="_Toc132365715"/>
      <w:r w:rsidRPr="001177AF">
        <w:rPr>
          <w:b w:val="0"/>
          <w:bCs w:val="0"/>
          <w:sz w:val="28"/>
          <w:szCs w:val="28"/>
          <w:lang w:val="en-GB"/>
        </w:rPr>
        <w:t xml:space="preserve">Sensor-based </w:t>
      </w:r>
      <w:r w:rsidR="00633865" w:rsidRPr="001177AF">
        <w:rPr>
          <w:b w:val="0"/>
          <w:bCs w:val="0"/>
          <w:sz w:val="28"/>
          <w:szCs w:val="28"/>
          <w:lang w:val="en-GB"/>
        </w:rPr>
        <w:t>A</w:t>
      </w:r>
      <w:r w:rsidRPr="001177AF">
        <w:rPr>
          <w:b w:val="0"/>
          <w:bCs w:val="0"/>
          <w:sz w:val="28"/>
          <w:szCs w:val="28"/>
          <w:lang w:val="en-GB"/>
        </w:rPr>
        <w:t xml:space="preserve">ssessments as a </w:t>
      </w:r>
      <w:r w:rsidR="00633865" w:rsidRPr="001177AF">
        <w:rPr>
          <w:b w:val="0"/>
          <w:bCs w:val="0"/>
          <w:sz w:val="28"/>
          <w:szCs w:val="28"/>
          <w:lang w:val="en-GB"/>
        </w:rPr>
        <w:t>D</w:t>
      </w:r>
      <w:r w:rsidRPr="001177AF">
        <w:rPr>
          <w:b w:val="0"/>
          <w:bCs w:val="0"/>
          <w:sz w:val="28"/>
          <w:szCs w:val="28"/>
          <w:lang w:val="en-GB"/>
        </w:rPr>
        <w:t xml:space="preserve">isease </w:t>
      </w:r>
      <w:r w:rsidR="00633865" w:rsidRPr="001177AF">
        <w:rPr>
          <w:b w:val="0"/>
          <w:bCs w:val="0"/>
          <w:sz w:val="28"/>
          <w:szCs w:val="28"/>
          <w:lang w:val="en-GB"/>
        </w:rPr>
        <w:t>P</w:t>
      </w:r>
      <w:r w:rsidRPr="001177AF">
        <w:rPr>
          <w:b w:val="0"/>
          <w:bCs w:val="0"/>
          <w:sz w:val="28"/>
          <w:szCs w:val="28"/>
          <w:lang w:val="en-GB"/>
        </w:rPr>
        <w:t>rogression and</w:t>
      </w:r>
      <w:r w:rsidR="00F81B65" w:rsidRPr="001177AF">
        <w:rPr>
          <w:b w:val="0"/>
          <w:bCs w:val="0"/>
          <w:sz w:val="28"/>
          <w:szCs w:val="28"/>
          <w:lang w:val="en-GB"/>
        </w:rPr>
        <w:t xml:space="preserve"> </w:t>
      </w:r>
      <w:r w:rsidR="00633865" w:rsidRPr="001177AF">
        <w:rPr>
          <w:b w:val="0"/>
          <w:bCs w:val="0"/>
          <w:sz w:val="28"/>
          <w:szCs w:val="28"/>
          <w:lang w:val="en-GB"/>
        </w:rPr>
        <w:t>T</w:t>
      </w:r>
      <w:r w:rsidRPr="001177AF">
        <w:rPr>
          <w:b w:val="0"/>
          <w:bCs w:val="0"/>
          <w:sz w:val="28"/>
          <w:szCs w:val="28"/>
          <w:lang w:val="en-GB"/>
        </w:rPr>
        <w:t xml:space="preserve">reatment </w:t>
      </w:r>
      <w:r w:rsidR="00633865" w:rsidRPr="001177AF">
        <w:rPr>
          <w:b w:val="0"/>
          <w:bCs w:val="0"/>
          <w:sz w:val="28"/>
          <w:szCs w:val="28"/>
          <w:lang w:val="en-GB"/>
        </w:rPr>
        <w:t>B</w:t>
      </w:r>
      <w:r w:rsidRPr="001177AF">
        <w:rPr>
          <w:b w:val="0"/>
          <w:bCs w:val="0"/>
          <w:sz w:val="28"/>
          <w:szCs w:val="28"/>
          <w:lang w:val="en-GB"/>
        </w:rPr>
        <w:t xml:space="preserve">iomarker for </w:t>
      </w:r>
      <w:r w:rsidR="00633865" w:rsidRPr="001177AF">
        <w:rPr>
          <w:b w:val="0"/>
          <w:bCs w:val="0"/>
          <w:sz w:val="28"/>
          <w:szCs w:val="28"/>
          <w:lang w:val="en-GB"/>
        </w:rPr>
        <w:t>N</w:t>
      </w:r>
      <w:r w:rsidRPr="001177AF">
        <w:rPr>
          <w:b w:val="0"/>
          <w:bCs w:val="0"/>
          <w:sz w:val="28"/>
          <w:szCs w:val="28"/>
          <w:lang w:val="en-GB"/>
        </w:rPr>
        <w:t xml:space="preserve">europsychiatric </w:t>
      </w:r>
      <w:r w:rsidR="00633865" w:rsidRPr="001177AF">
        <w:rPr>
          <w:b w:val="0"/>
          <w:bCs w:val="0"/>
          <w:sz w:val="28"/>
          <w:szCs w:val="28"/>
          <w:lang w:val="en-GB"/>
        </w:rPr>
        <w:t>D</w:t>
      </w:r>
      <w:r w:rsidRPr="001177AF">
        <w:rPr>
          <w:b w:val="0"/>
          <w:bCs w:val="0"/>
          <w:sz w:val="28"/>
          <w:szCs w:val="28"/>
          <w:lang w:val="en-GB"/>
        </w:rPr>
        <w:t>iseases</w:t>
      </w:r>
      <w:bookmarkEnd w:id="0"/>
      <w:bookmarkEnd w:id="1"/>
      <w:bookmarkEnd w:id="2"/>
      <w:bookmarkEnd w:id="3"/>
    </w:p>
    <w:p w14:paraId="3172E657" w14:textId="1FFB63E2" w:rsidR="009A0DA0" w:rsidRDefault="009A0DA0" w:rsidP="009A0DA0">
      <w:pPr>
        <w:pStyle w:val="Heading1"/>
        <w:jc w:val="center"/>
        <w:rPr>
          <w:lang w:val="en-GB"/>
        </w:rPr>
      </w:pPr>
    </w:p>
    <w:p w14:paraId="14C7DC20" w14:textId="77777777" w:rsidR="00D64FA4" w:rsidRPr="001177AF" w:rsidRDefault="00D64FA4" w:rsidP="009A0DA0">
      <w:pPr>
        <w:pStyle w:val="Heading1"/>
        <w:jc w:val="center"/>
        <w:rPr>
          <w:lang w:val="en-GB"/>
        </w:rPr>
      </w:pPr>
    </w:p>
    <w:p w14:paraId="5D09EEBC" w14:textId="77777777" w:rsidR="001177AF" w:rsidRDefault="001177AF" w:rsidP="009A0DA0">
      <w:pPr>
        <w:pStyle w:val="Heading1"/>
        <w:jc w:val="center"/>
        <w:rPr>
          <w:lang w:val="en-GB"/>
        </w:rPr>
      </w:pPr>
    </w:p>
    <w:p w14:paraId="2610828C" w14:textId="77777777" w:rsidR="001177AF" w:rsidRPr="001177AF" w:rsidRDefault="001177AF" w:rsidP="009A0DA0">
      <w:pPr>
        <w:pStyle w:val="Heading1"/>
        <w:jc w:val="center"/>
        <w:rPr>
          <w:lang w:val="en-GB"/>
        </w:rPr>
      </w:pPr>
    </w:p>
    <w:p w14:paraId="0A33AB7F" w14:textId="67A33175" w:rsidR="009A0DA0" w:rsidRPr="001177AF" w:rsidRDefault="00892F38" w:rsidP="009A0DA0">
      <w:pPr>
        <w:pStyle w:val="Heading1"/>
        <w:jc w:val="center"/>
        <w:rPr>
          <w:b w:val="0"/>
          <w:bCs w:val="0"/>
          <w:lang w:val="en-GB"/>
        </w:rPr>
      </w:pPr>
      <w:bookmarkStart w:id="4" w:name="_Toc132320054"/>
      <w:bookmarkStart w:id="5" w:name="_Toc132365716"/>
      <w:r w:rsidRPr="001177AF">
        <w:rPr>
          <w:b w:val="0"/>
          <w:bCs w:val="0"/>
          <w:sz w:val="28"/>
          <w:szCs w:val="28"/>
        </w:rPr>
        <w:t>Dissertation</w:t>
      </w:r>
      <w:bookmarkEnd w:id="4"/>
      <w:bookmarkEnd w:id="5"/>
    </w:p>
    <w:p w14:paraId="4F671684" w14:textId="77777777" w:rsidR="009A0DA0" w:rsidRDefault="009A0DA0" w:rsidP="002920C7">
      <w:pPr>
        <w:pStyle w:val="NormalWeb"/>
        <w:jc w:val="center"/>
        <w:rPr>
          <w:lang w:val="en-GB"/>
        </w:rPr>
      </w:pPr>
    </w:p>
    <w:p w14:paraId="3ABB8FC0" w14:textId="77777777" w:rsidR="00D64FA4" w:rsidRPr="001177AF" w:rsidRDefault="00D64FA4" w:rsidP="002920C7">
      <w:pPr>
        <w:pStyle w:val="NormalWeb"/>
        <w:jc w:val="center"/>
        <w:rPr>
          <w:lang w:val="en-GB"/>
        </w:rPr>
      </w:pPr>
    </w:p>
    <w:p w14:paraId="3FEE17A5" w14:textId="77777777" w:rsidR="00892F38" w:rsidRPr="001177AF" w:rsidRDefault="00892F38" w:rsidP="00892F38">
      <w:pPr>
        <w:pStyle w:val="Heading1"/>
        <w:jc w:val="center"/>
        <w:rPr>
          <w:b w:val="0"/>
          <w:bCs w:val="0"/>
          <w:sz w:val="24"/>
          <w:szCs w:val="24"/>
          <w:lang w:val="en-GB"/>
        </w:rPr>
      </w:pPr>
      <w:bookmarkStart w:id="6" w:name="_Toc132320055"/>
      <w:bookmarkStart w:id="7" w:name="_Toc132365717"/>
      <w:r w:rsidRPr="001177AF">
        <w:rPr>
          <w:b w:val="0"/>
          <w:bCs w:val="0"/>
          <w:sz w:val="24"/>
          <w:szCs w:val="24"/>
          <w:lang w:val="en-GB"/>
        </w:rPr>
        <w:t>to obtain the academic title of Doctor of Philosophy (PhD) in Medical Sciences</w:t>
      </w:r>
      <w:bookmarkEnd w:id="6"/>
      <w:bookmarkEnd w:id="7"/>
    </w:p>
    <w:p w14:paraId="4559153B" w14:textId="6034757C" w:rsidR="00892F38" w:rsidRPr="001177AF" w:rsidRDefault="00892F38" w:rsidP="00892F38">
      <w:pPr>
        <w:pStyle w:val="Heading1"/>
        <w:jc w:val="center"/>
        <w:rPr>
          <w:b w:val="0"/>
          <w:bCs w:val="0"/>
          <w:sz w:val="24"/>
          <w:szCs w:val="24"/>
          <w:lang w:val="en-GB"/>
        </w:rPr>
      </w:pPr>
      <w:bookmarkStart w:id="8" w:name="_Toc132320056"/>
      <w:bookmarkStart w:id="9" w:name="_Toc132365718"/>
      <w:r w:rsidRPr="001177AF">
        <w:rPr>
          <w:b w:val="0"/>
          <w:bCs w:val="0"/>
          <w:sz w:val="24"/>
          <w:szCs w:val="24"/>
          <w:lang w:val="en-GB"/>
        </w:rPr>
        <w:t xml:space="preserve">from the Faculty of Medicine at Heinrich Heine University </w:t>
      </w:r>
      <w:bookmarkEnd w:id="8"/>
      <w:bookmarkEnd w:id="9"/>
      <w:r w:rsidR="00E818FB" w:rsidRPr="001177AF">
        <w:rPr>
          <w:b w:val="0"/>
          <w:bCs w:val="0"/>
          <w:sz w:val="24"/>
          <w:szCs w:val="24"/>
          <w:lang w:val="en-GB"/>
        </w:rPr>
        <w:t>Düsseldorf</w:t>
      </w:r>
    </w:p>
    <w:p w14:paraId="09D41A15" w14:textId="77777777" w:rsidR="00892F38" w:rsidRPr="001177AF" w:rsidRDefault="00892F38" w:rsidP="002920C7">
      <w:pPr>
        <w:pStyle w:val="NormalWeb"/>
        <w:rPr>
          <w:color w:val="000007"/>
          <w:sz w:val="28"/>
          <w:szCs w:val="28"/>
          <w:lang w:val="en-GB"/>
        </w:rPr>
      </w:pPr>
    </w:p>
    <w:p w14:paraId="48D544AC" w14:textId="77777777" w:rsidR="00C56931" w:rsidRDefault="00C56931" w:rsidP="002920C7">
      <w:pPr>
        <w:pStyle w:val="NormalWeb"/>
        <w:rPr>
          <w:color w:val="000007"/>
          <w:sz w:val="28"/>
          <w:szCs w:val="28"/>
          <w:lang w:val="en-GB"/>
        </w:rPr>
      </w:pPr>
    </w:p>
    <w:p w14:paraId="0AAEF3AA" w14:textId="77777777" w:rsidR="001177AF" w:rsidRPr="001177AF" w:rsidRDefault="001177AF" w:rsidP="002920C7">
      <w:pPr>
        <w:pStyle w:val="NormalWeb"/>
        <w:rPr>
          <w:color w:val="000007"/>
          <w:sz w:val="28"/>
          <w:szCs w:val="28"/>
          <w:lang w:val="en-GB"/>
        </w:rPr>
      </w:pPr>
    </w:p>
    <w:p w14:paraId="42BAEBA3" w14:textId="77777777" w:rsidR="00892F38" w:rsidRPr="001177AF" w:rsidRDefault="00892F38" w:rsidP="00892F38">
      <w:pPr>
        <w:pStyle w:val="NormalWeb"/>
        <w:jc w:val="center"/>
        <w:rPr>
          <w:color w:val="000007"/>
          <w:sz w:val="28"/>
          <w:szCs w:val="28"/>
          <w:lang w:val="en-GB"/>
        </w:rPr>
      </w:pPr>
      <w:r w:rsidRPr="001177AF">
        <w:rPr>
          <w:color w:val="000007"/>
          <w:sz w:val="28"/>
          <w:szCs w:val="28"/>
          <w:lang w:val="en-GB"/>
        </w:rPr>
        <w:t>submitted by</w:t>
      </w:r>
    </w:p>
    <w:p w14:paraId="5BB8A88A" w14:textId="77777777" w:rsidR="00892F38" w:rsidRPr="001177AF" w:rsidRDefault="00892F38" w:rsidP="00892F38">
      <w:pPr>
        <w:pStyle w:val="Heading1"/>
        <w:jc w:val="center"/>
        <w:rPr>
          <w:b w:val="0"/>
          <w:bCs w:val="0"/>
          <w:sz w:val="28"/>
          <w:szCs w:val="28"/>
          <w:lang w:val="en-GB"/>
        </w:rPr>
      </w:pPr>
      <w:bookmarkStart w:id="10" w:name="_Toc128592061"/>
      <w:bookmarkStart w:id="11" w:name="_Toc129681206"/>
      <w:bookmarkStart w:id="12" w:name="_Toc132320057"/>
      <w:bookmarkStart w:id="13" w:name="_Toc132365719"/>
      <w:r w:rsidRPr="001177AF">
        <w:rPr>
          <w:b w:val="0"/>
          <w:bCs w:val="0"/>
          <w:sz w:val="28"/>
          <w:szCs w:val="28"/>
          <w:lang w:val="en-GB"/>
        </w:rPr>
        <w:t>Mehran Sahandi Far</w:t>
      </w:r>
      <w:bookmarkEnd w:id="10"/>
      <w:bookmarkEnd w:id="11"/>
      <w:bookmarkEnd w:id="12"/>
      <w:bookmarkEnd w:id="13"/>
    </w:p>
    <w:p w14:paraId="531E95B2" w14:textId="5B520FC8" w:rsidR="0094435C" w:rsidRDefault="00892F38" w:rsidP="0094435C">
      <w:pPr>
        <w:pStyle w:val="NormalWeb"/>
        <w:jc w:val="center"/>
        <w:rPr>
          <w:color w:val="000007"/>
          <w:sz w:val="28"/>
          <w:szCs w:val="28"/>
          <w:lang w:val="en-GB"/>
        </w:rPr>
      </w:pPr>
      <w:r w:rsidRPr="001177AF">
        <w:rPr>
          <w:color w:val="000007"/>
          <w:sz w:val="28"/>
          <w:szCs w:val="28"/>
          <w:lang w:val="en-GB"/>
        </w:rPr>
        <w:t>(2023)</w:t>
      </w:r>
    </w:p>
    <w:p w14:paraId="41F01B00" w14:textId="26574AE0" w:rsidR="0094435C" w:rsidRDefault="003034D3" w:rsidP="0094435C">
      <w:pPr>
        <w:pStyle w:val="NormalWeb"/>
        <w:rPr>
          <w:lang w:val="de-DE"/>
        </w:rPr>
      </w:pPr>
      <w:r>
        <w:rPr>
          <w:lang w:val="de-DE"/>
        </w:rPr>
        <w:lastRenderedPageBreak/>
        <w:t>„</w:t>
      </w:r>
      <w:r w:rsidR="0094435C" w:rsidRPr="0094435C">
        <w:rPr>
          <w:lang w:val="de-DE"/>
        </w:rPr>
        <w:t>Als Inaugural</w:t>
      </w:r>
      <w:r>
        <w:rPr>
          <w:lang w:val="de-DE"/>
        </w:rPr>
        <w:t>d</w:t>
      </w:r>
      <w:r w:rsidR="0094435C" w:rsidRPr="0094435C">
        <w:rPr>
          <w:lang w:val="de-DE"/>
        </w:rPr>
        <w:t>issertation gedruckt mit Genehmigung der Medizinischen Fakultät der Heinrich-Heine-Universität Düsseldorf</w:t>
      </w:r>
    </w:p>
    <w:p w14:paraId="445D7DAB" w14:textId="77777777" w:rsidR="003034D3" w:rsidRDefault="0094435C" w:rsidP="003034D3">
      <w:pPr>
        <w:pStyle w:val="NormalWeb"/>
        <w:rPr>
          <w:lang w:val="de-DE"/>
        </w:rPr>
      </w:pPr>
      <w:r>
        <w:rPr>
          <w:lang w:val="de-DE"/>
        </w:rPr>
        <w:t>Gez.:</w:t>
      </w:r>
    </w:p>
    <w:p w14:paraId="325C4A9A" w14:textId="51AAEFEC" w:rsidR="0094435C" w:rsidRDefault="0094435C" w:rsidP="003034D3">
      <w:pPr>
        <w:pStyle w:val="NormalWeb"/>
        <w:rPr>
          <w:lang w:val="de-DE"/>
        </w:rPr>
      </w:pPr>
      <w:r>
        <w:rPr>
          <w:lang w:val="de-DE"/>
        </w:rPr>
        <w:t>Dekan: Prof. Dr.</w:t>
      </w:r>
      <w:r w:rsidR="003034D3">
        <w:rPr>
          <w:lang w:val="de-DE"/>
        </w:rPr>
        <w:t xml:space="preserve"> </w:t>
      </w:r>
      <w:r>
        <w:rPr>
          <w:lang w:val="de-DE"/>
        </w:rPr>
        <w:t>med. Nikolaj Klöc</w:t>
      </w:r>
      <w:r w:rsidR="003034D3">
        <w:rPr>
          <w:lang w:val="de-DE"/>
        </w:rPr>
        <w:t>k</w:t>
      </w:r>
      <w:r>
        <w:rPr>
          <w:lang w:val="de-DE"/>
        </w:rPr>
        <w:t>er</w:t>
      </w:r>
    </w:p>
    <w:p w14:paraId="758616B7" w14:textId="4C629257" w:rsidR="00542C22" w:rsidRPr="0094435C" w:rsidRDefault="0094435C" w:rsidP="0094435C">
      <w:pPr>
        <w:pStyle w:val="NormalWeb"/>
        <w:rPr>
          <w:color w:val="000007"/>
          <w:sz w:val="28"/>
          <w:szCs w:val="28"/>
          <w:lang w:val="de-DE"/>
        </w:rPr>
      </w:pPr>
      <w:r>
        <w:rPr>
          <w:lang w:val="de-DE"/>
        </w:rPr>
        <w:t xml:space="preserve">Gutachter/innen: Prof. Dr. Juergen </w:t>
      </w:r>
      <w:proofErr w:type="spellStart"/>
      <w:r>
        <w:rPr>
          <w:lang w:val="de-DE"/>
        </w:rPr>
        <w:t>Dukart</w:t>
      </w:r>
      <w:proofErr w:type="spellEnd"/>
      <w:r>
        <w:rPr>
          <w:lang w:val="de-DE"/>
        </w:rPr>
        <w:t xml:space="preserve">, Prof. Dr. Oliver </w:t>
      </w:r>
      <w:proofErr w:type="spellStart"/>
      <w:r>
        <w:rPr>
          <w:lang w:val="de-DE"/>
        </w:rPr>
        <w:t>Kuß</w:t>
      </w:r>
      <w:proofErr w:type="spellEnd"/>
      <w:r w:rsidR="00542C22" w:rsidRPr="0094435C">
        <w:rPr>
          <w:lang w:val="de-DE"/>
        </w:rPr>
        <w:br w:type="page"/>
      </w:r>
    </w:p>
    <w:p w14:paraId="69FAA4CD" w14:textId="01B22A49" w:rsidR="002920C7" w:rsidRPr="001177AF" w:rsidRDefault="00C56931" w:rsidP="002920C7">
      <w:pPr>
        <w:spacing w:before="400" w:after="120"/>
        <w:jc w:val="both"/>
        <w:outlineLvl w:val="0"/>
        <w:rPr>
          <w:rFonts w:eastAsiaTheme="minorHAnsi"/>
          <w:b/>
          <w:bCs/>
          <w:lang w:val="en-GB" w:eastAsia="en-US"/>
        </w:rPr>
      </w:pPr>
      <w:bookmarkStart w:id="14" w:name="_Toc132320058"/>
      <w:bookmarkStart w:id="15" w:name="_Toc132365720"/>
      <w:r w:rsidRPr="001177AF">
        <w:rPr>
          <w:rFonts w:eastAsiaTheme="minorHAnsi"/>
          <w:b/>
          <w:bCs/>
          <w:lang w:val="en-GB" w:eastAsia="en-US"/>
        </w:rPr>
        <w:lastRenderedPageBreak/>
        <w:t>Parts of this work have been accepted and published:</w:t>
      </w:r>
      <w:bookmarkEnd w:id="14"/>
      <w:bookmarkEnd w:id="15"/>
    </w:p>
    <w:p w14:paraId="48A7D23C" w14:textId="5C66538C" w:rsidR="00C56931" w:rsidRPr="001177AF" w:rsidRDefault="00C56931" w:rsidP="002920C7">
      <w:pPr>
        <w:spacing w:before="400" w:after="120"/>
        <w:jc w:val="both"/>
        <w:outlineLvl w:val="0"/>
        <w:rPr>
          <w:rFonts w:eastAsiaTheme="minorHAnsi"/>
          <w:lang w:val="en-GB" w:eastAsia="en-US"/>
        </w:rPr>
      </w:pPr>
      <w:bookmarkStart w:id="16" w:name="_Toc132320059"/>
      <w:bookmarkStart w:id="17" w:name="_Toc132365721"/>
      <w:r w:rsidRPr="001177AF">
        <w:rPr>
          <w:rFonts w:eastAsiaTheme="minorHAnsi"/>
          <w:lang w:val="de-DE" w:eastAsia="en-US"/>
        </w:rPr>
        <w:t xml:space="preserve">1) Sahandi Far, Mehran, Michael Stolz, Jona M. Fischer, Simon B. Eickhoff, and Juergen Dukart. </w:t>
      </w:r>
      <w:r w:rsidRPr="001177AF">
        <w:rPr>
          <w:rFonts w:eastAsiaTheme="minorHAnsi"/>
          <w:lang w:val="en-GB" w:eastAsia="en-US"/>
        </w:rPr>
        <w:t>"JTrack: a digital biomarker platform for remote monitoring of daily-life behaviour in health and disease." Frontiers in Public Health 9 (2021): 763621.</w:t>
      </w:r>
      <w:bookmarkEnd w:id="16"/>
      <w:bookmarkEnd w:id="17"/>
    </w:p>
    <w:p w14:paraId="185EC1C2" w14:textId="0B6A25B5" w:rsidR="00C56931" w:rsidRPr="001177AF" w:rsidRDefault="00C56931" w:rsidP="002920C7">
      <w:pPr>
        <w:spacing w:before="400" w:after="120"/>
        <w:jc w:val="both"/>
        <w:outlineLvl w:val="0"/>
        <w:rPr>
          <w:rFonts w:eastAsiaTheme="minorHAnsi"/>
          <w:lang w:val="en-GB" w:eastAsia="en-US"/>
        </w:rPr>
      </w:pPr>
      <w:bookmarkStart w:id="18" w:name="_Toc132320060"/>
      <w:bookmarkStart w:id="19" w:name="_Toc132365722"/>
      <w:r w:rsidRPr="001177AF">
        <w:rPr>
          <w:rFonts w:eastAsiaTheme="minorHAnsi"/>
          <w:lang w:val="en-GB" w:eastAsia="en-US"/>
        </w:rPr>
        <w:t xml:space="preserve">2) </w:t>
      </w:r>
      <w:proofErr w:type="spellStart"/>
      <w:r w:rsidRPr="001177AF">
        <w:rPr>
          <w:rFonts w:eastAsiaTheme="minorHAnsi"/>
          <w:lang w:val="en-GB" w:eastAsia="en-US"/>
        </w:rPr>
        <w:t>Rentz</w:t>
      </w:r>
      <w:proofErr w:type="spellEnd"/>
      <w:r w:rsidRPr="001177AF">
        <w:rPr>
          <w:rFonts w:eastAsiaTheme="minorHAnsi"/>
          <w:lang w:val="en-GB" w:eastAsia="en-US"/>
        </w:rPr>
        <w:t xml:space="preserve">, Clara, Mehran </w:t>
      </w:r>
      <w:proofErr w:type="spellStart"/>
      <w:r w:rsidRPr="001177AF">
        <w:rPr>
          <w:rFonts w:eastAsiaTheme="minorHAnsi"/>
          <w:lang w:val="en-GB" w:eastAsia="en-US"/>
        </w:rPr>
        <w:t>Sahandi</w:t>
      </w:r>
      <w:proofErr w:type="spellEnd"/>
      <w:r w:rsidRPr="001177AF">
        <w:rPr>
          <w:rFonts w:eastAsiaTheme="minorHAnsi"/>
          <w:lang w:val="en-GB" w:eastAsia="en-US"/>
        </w:rPr>
        <w:t xml:space="preserve"> Far, </w:t>
      </w:r>
      <w:proofErr w:type="spellStart"/>
      <w:r w:rsidRPr="001177AF">
        <w:rPr>
          <w:rFonts w:eastAsiaTheme="minorHAnsi"/>
          <w:lang w:val="en-GB" w:eastAsia="en-US"/>
        </w:rPr>
        <w:t>Maik</w:t>
      </w:r>
      <w:proofErr w:type="spellEnd"/>
      <w:r w:rsidRPr="001177AF">
        <w:rPr>
          <w:rFonts w:eastAsiaTheme="minorHAnsi"/>
          <w:lang w:val="en-GB" w:eastAsia="en-US"/>
        </w:rPr>
        <w:t xml:space="preserve"> </w:t>
      </w:r>
      <w:proofErr w:type="spellStart"/>
      <w:r w:rsidRPr="001177AF">
        <w:rPr>
          <w:rFonts w:eastAsiaTheme="minorHAnsi"/>
          <w:lang w:val="en-GB" w:eastAsia="en-US"/>
        </w:rPr>
        <w:t>Boltes</w:t>
      </w:r>
      <w:proofErr w:type="spellEnd"/>
      <w:r w:rsidRPr="001177AF">
        <w:rPr>
          <w:rFonts w:eastAsiaTheme="minorHAnsi"/>
          <w:lang w:val="en-GB" w:eastAsia="en-US"/>
        </w:rPr>
        <w:t xml:space="preserve">, </w:t>
      </w:r>
      <w:proofErr w:type="spellStart"/>
      <w:r w:rsidRPr="001177AF">
        <w:rPr>
          <w:rFonts w:eastAsiaTheme="minorHAnsi"/>
          <w:lang w:val="en-GB" w:eastAsia="en-US"/>
        </w:rPr>
        <w:t>Alfons</w:t>
      </w:r>
      <w:proofErr w:type="spellEnd"/>
      <w:r w:rsidRPr="001177AF">
        <w:rPr>
          <w:rFonts w:eastAsiaTheme="minorHAnsi"/>
          <w:lang w:val="en-GB" w:eastAsia="en-US"/>
        </w:rPr>
        <w:t xml:space="preserve"> Schnitzler, Katrin </w:t>
      </w:r>
      <w:proofErr w:type="spellStart"/>
      <w:r w:rsidRPr="001177AF">
        <w:rPr>
          <w:rFonts w:eastAsiaTheme="minorHAnsi"/>
          <w:lang w:val="en-GB" w:eastAsia="en-US"/>
        </w:rPr>
        <w:t>Amunts</w:t>
      </w:r>
      <w:proofErr w:type="spellEnd"/>
      <w:r w:rsidRPr="001177AF">
        <w:rPr>
          <w:rFonts w:eastAsiaTheme="minorHAnsi"/>
          <w:lang w:val="en-GB" w:eastAsia="en-US"/>
        </w:rPr>
        <w:t xml:space="preserve">, Juergen </w:t>
      </w:r>
      <w:proofErr w:type="spellStart"/>
      <w:r w:rsidRPr="001177AF">
        <w:rPr>
          <w:rFonts w:eastAsiaTheme="minorHAnsi"/>
          <w:lang w:val="en-GB" w:eastAsia="en-US"/>
        </w:rPr>
        <w:t>Dukart</w:t>
      </w:r>
      <w:proofErr w:type="spellEnd"/>
      <w:r w:rsidRPr="001177AF">
        <w:rPr>
          <w:rFonts w:eastAsiaTheme="minorHAnsi"/>
          <w:lang w:val="en-GB" w:eastAsia="en-US"/>
        </w:rPr>
        <w:t xml:space="preserve">, and Martina </w:t>
      </w:r>
      <w:proofErr w:type="spellStart"/>
      <w:r w:rsidRPr="001177AF">
        <w:rPr>
          <w:rFonts w:eastAsiaTheme="minorHAnsi"/>
          <w:lang w:val="en-GB" w:eastAsia="en-US"/>
        </w:rPr>
        <w:t>Minnerop</w:t>
      </w:r>
      <w:proofErr w:type="spellEnd"/>
      <w:r w:rsidRPr="001177AF">
        <w:rPr>
          <w:rFonts w:eastAsiaTheme="minorHAnsi"/>
          <w:lang w:val="en-GB" w:eastAsia="en-US"/>
        </w:rPr>
        <w:t>. "System Comparison for Gait and Balance Monitoring Used for the Evaluation of a Home-Based Training." Sensors 22, no. 13 (2022): 4975.</w:t>
      </w:r>
      <w:bookmarkEnd w:id="18"/>
      <w:bookmarkEnd w:id="19"/>
    </w:p>
    <w:p w14:paraId="79AF4D33" w14:textId="0106C8DC" w:rsidR="00C56931" w:rsidRPr="001177AF" w:rsidRDefault="00C56931" w:rsidP="002920C7">
      <w:pPr>
        <w:spacing w:before="400" w:after="120"/>
        <w:jc w:val="both"/>
        <w:outlineLvl w:val="0"/>
        <w:rPr>
          <w:rFonts w:eastAsiaTheme="minorHAnsi"/>
          <w:lang w:val="en-GB" w:eastAsia="en-US"/>
        </w:rPr>
      </w:pPr>
      <w:bookmarkStart w:id="20" w:name="_Toc132320061"/>
      <w:bookmarkStart w:id="21" w:name="_Toc132365723"/>
      <w:r w:rsidRPr="001177AF">
        <w:rPr>
          <w:rFonts w:eastAsiaTheme="minorHAnsi"/>
          <w:lang w:val="en-GB" w:eastAsia="en-US"/>
        </w:rPr>
        <w:t xml:space="preserve">3) </w:t>
      </w:r>
      <w:r w:rsidR="00BB57FC" w:rsidRPr="001177AF">
        <w:rPr>
          <w:rFonts w:eastAsiaTheme="minorHAnsi"/>
          <w:lang w:val="en-GB" w:eastAsia="en-US"/>
        </w:rPr>
        <w:t xml:space="preserve">Sahandi Far, Mehran, Simon B. Eickhoff, Maria </w:t>
      </w:r>
      <w:proofErr w:type="spellStart"/>
      <w:r w:rsidR="00BB57FC" w:rsidRPr="001177AF">
        <w:rPr>
          <w:rFonts w:eastAsiaTheme="minorHAnsi"/>
          <w:lang w:val="en-GB" w:eastAsia="en-US"/>
        </w:rPr>
        <w:t>Goni</w:t>
      </w:r>
      <w:proofErr w:type="spellEnd"/>
      <w:r w:rsidR="00BB57FC" w:rsidRPr="001177AF">
        <w:rPr>
          <w:rFonts w:eastAsiaTheme="minorHAnsi"/>
          <w:lang w:val="en-GB" w:eastAsia="en-US"/>
        </w:rPr>
        <w:t xml:space="preserve">, and Juergen </w:t>
      </w:r>
      <w:proofErr w:type="spellStart"/>
      <w:r w:rsidR="00BB57FC" w:rsidRPr="001177AF">
        <w:rPr>
          <w:rFonts w:eastAsiaTheme="minorHAnsi"/>
          <w:lang w:val="en-GB" w:eastAsia="en-US"/>
        </w:rPr>
        <w:t>Dukart</w:t>
      </w:r>
      <w:proofErr w:type="spellEnd"/>
      <w:r w:rsidR="00BB57FC" w:rsidRPr="001177AF">
        <w:rPr>
          <w:rFonts w:eastAsiaTheme="minorHAnsi"/>
          <w:lang w:val="en-GB" w:eastAsia="en-US"/>
        </w:rPr>
        <w:t>. "Exploring test-retest reliability and longitudinal stability of digital biomarkers for Parkinson disease in the m-power data set: Cohort study." Journal of Medical Internet Research 23, no. 9 (2021): e26608.</w:t>
      </w:r>
      <w:bookmarkEnd w:id="20"/>
      <w:bookmarkEnd w:id="21"/>
    </w:p>
    <w:p w14:paraId="33EA89B3" w14:textId="11C241C9" w:rsidR="00C56931" w:rsidRPr="001177AF" w:rsidRDefault="00C56931" w:rsidP="002920C7">
      <w:pPr>
        <w:spacing w:before="400" w:after="120"/>
        <w:jc w:val="both"/>
        <w:outlineLvl w:val="0"/>
        <w:rPr>
          <w:rFonts w:eastAsiaTheme="minorHAnsi"/>
          <w:lang w:val="en-GB" w:eastAsia="en-US"/>
        </w:rPr>
      </w:pPr>
      <w:bookmarkStart w:id="22" w:name="_Toc132320062"/>
      <w:bookmarkStart w:id="23" w:name="_Toc132365724"/>
      <w:r w:rsidRPr="001177AF">
        <w:rPr>
          <w:rFonts w:eastAsiaTheme="minorHAnsi"/>
          <w:lang w:val="de-DE" w:eastAsia="en-US"/>
        </w:rPr>
        <w:t>4)</w:t>
      </w:r>
      <w:r w:rsidR="00BB57FC" w:rsidRPr="001177AF">
        <w:rPr>
          <w:rFonts w:eastAsiaTheme="minorHAnsi"/>
          <w:lang w:val="de-DE" w:eastAsia="en-US"/>
        </w:rPr>
        <w:t xml:space="preserve"> </w:t>
      </w:r>
      <w:proofErr w:type="spellStart"/>
      <w:r w:rsidR="00BB57FC" w:rsidRPr="001177AF">
        <w:rPr>
          <w:rFonts w:eastAsiaTheme="minorHAnsi"/>
          <w:lang w:val="de-DE" w:eastAsia="en-US"/>
        </w:rPr>
        <w:t>Goñi</w:t>
      </w:r>
      <w:proofErr w:type="spellEnd"/>
      <w:r w:rsidR="00BB57FC" w:rsidRPr="001177AF">
        <w:rPr>
          <w:rFonts w:eastAsiaTheme="minorHAnsi"/>
          <w:lang w:val="de-DE" w:eastAsia="en-US"/>
        </w:rPr>
        <w:t xml:space="preserve">, María, Simon B. Eickhoff, Mehran </w:t>
      </w:r>
      <w:proofErr w:type="spellStart"/>
      <w:r w:rsidR="00BB57FC" w:rsidRPr="001177AF">
        <w:rPr>
          <w:rFonts w:eastAsiaTheme="minorHAnsi"/>
          <w:lang w:val="de-DE" w:eastAsia="en-US"/>
        </w:rPr>
        <w:t>Sahandi</w:t>
      </w:r>
      <w:proofErr w:type="spellEnd"/>
      <w:r w:rsidR="00BB57FC" w:rsidRPr="001177AF">
        <w:rPr>
          <w:rFonts w:eastAsiaTheme="minorHAnsi"/>
          <w:lang w:val="de-DE" w:eastAsia="en-US"/>
        </w:rPr>
        <w:t xml:space="preserve"> </w:t>
      </w:r>
      <w:proofErr w:type="spellStart"/>
      <w:r w:rsidR="00BB57FC" w:rsidRPr="001177AF">
        <w:rPr>
          <w:rFonts w:eastAsiaTheme="minorHAnsi"/>
          <w:lang w:val="de-DE" w:eastAsia="en-US"/>
        </w:rPr>
        <w:t>Far</w:t>
      </w:r>
      <w:proofErr w:type="spellEnd"/>
      <w:r w:rsidR="00BB57FC" w:rsidRPr="001177AF">
        <w:rPr>
          <w:rFonts w:eastAsiaTheme="minorHAnsi"/>
          <w:lang w:val="de-DE" w:eastAsia="en-US"/>
        </w:rPr>
        <w:t xml:space="preserve">, </w:t>
      </w:r>
      <w:proofErr w:type="spellStart"/>
      <w:r w:rsidR="00BB57FC" w:rsidRPr="001177AF">
        <w:rPr>
          <w:rFonts w:eastAsiaTheme="minorHAnsi"/>
          <w:lang w:val="de-DE" w:eastAsia="en-US"/>
        </w:rPr>
        <w:t>Kaustubh</w:t>
      </w:r>
      <w:proofErr w:type="spellEnd"/>
      <w:r w:rsidR="00BB57FC" w:rsidRPr="001177AF">
        <w:rPr>
          <w:rFonts w:eastAsiaTheme="minorHAnsi"/>
          <w:lang w:val="de-DE" w:eastAsia="en-US"/>
        </w:rPr>
        <w:t xml:space="preserve"> R. </w:t>
      </w:r>
      <w:proofErr w:type="spellStart"/>
      <w:r w:rsidR="00BB57FC" w:rsidRPr="001177AF">
        <w:rPr>
          <w:rFonts w:eastAsiaTheme="minorHAnsi"/>
          <w:lang w:val="de-DE" w:eastAsia="en-US"/>
        </w:rPr>
        <w:t>Patil</w:t>
      </w:r>
      <w:proofErr w:type="spellEnd"/>
      <w:r w:rsidR="00BB57FC" w:rsidRPr="001177AF">
        <w:rPr>
          <w:rFonts w:eastAsiaTheme="minorHAnsi"/>
          <w:lang w:val="de-DE" w:eastAsia="en-US"/>
        </w:rPr>
        <w:t xml:space="preserve">, and Juergen </w:t>
      </w:r>
      <w:proofErr w:type="spellStart"/>
      <w:r w:rsidR="00BB57FC" w:rsidRPr="001177AF">
        <w:rPr>
          <w:rFonts w:eastAsiaTheme="minorHAnsi"/>
          <w:lang w:val="de-DE" w:eastAsia="en-US"/>
        </w:rPr>
        <w:t>Dukart</w:t>
      </w:r>
      <w:proofErr w:type="spellEnd"/>
      <w:r w:rsidR="00BB57FC" w:rsidRPr="001177AF">
        <w:rPr>
          <w:rFonts w:eastAsiaTheme="minorHAnsi"/>
          <w:lang w:val="de-DE" w:eastAsia="en-US"/>
        </w:rPr>
        <w:t xml:space="preserve">. </w:t>
      </w:r>
      <w:r w:rsidR="00BB57FC" w:rsidRPr="001177AF">
        <w:rPr>
          <w:rFonts w:eastAsiaTheme="minorHAnsi"/>
          <w:lang w:val="en-GB" w:eastAsia="en-US"/>
        </w:rPr>
        <w:t xml:space="preserve">"Smartphone-based digital biomarkers for Parkinson’s disease in a </w:t>
      </w:r>
      <w:proofErr w:type="gramStart"/>
      <w:r w:rsidR="00BB57FC" w:rsidRPr="001177AF">
        <w:rPr>
          <w:rFonts w:eastAsiaTheme="minorHAnsi"/>
          <w:lang w:val="en-GB" w:eastAsia="en-US"/>
        </w:rPr>
        <w:t>remotely-administered</w:t>
      </w:r>
      <w:proofErr w:type="gramEnd"/>
      <w:r w:rsidR="00BB57FC" w:rsidRPr="001177AF">
        <w:rPr>
          <w:rFonts w:eastAsiaTheme="minorHAnsi"/>
          <w:lang w:val="en-GB" w:eastAsia="en-US"/>
        </w:rPr>
        <w:t xml:space="preserve"> setting." IEEE access 10 (2022): 28361-28384.</w:t>
      </w:r>
      <w:bookmarkEnd w:id="22"/>
      <w:bookmarkEnd w:id="23"/>
    </w:p>
    <w:p w14:paraId="6C3C5176" w14:textId="77777777" w:rsidR="00C56931" w:rsidRPr="001177AF" w:rsidRDefault="00C56931" w:rsidP="002920C7">
      <w:pPr>
        <w:spacing w:before="400" w:after="120"/>
        <w:jc w:val="both"/>
        <w:outlineLvl w:val="0"/>
        <w:rPr>
          <w:b/>
          <w:bCs/>
          <w:color w:val="000000"/>
          <w:kern w:val="36"/>
          <w:sz w:val="40"/>
          <w:szCs w:val="40"/>
          <w:lang w:val="en-US"/>
        </w:rPr>
      </w:pPr>
    </w:p>
    <w:p w14:paraId="10C4E23A" w14:textId="6C277D45" w:rsidR="002920C7" w:rsidRPr="001177AF" w:rsidRDefault="002920C7" w:rsidP="002920C7">
      <w:pPr>
        <w:spacing w:before="400" w:after="120"/>
        <w:jc w:val="both"/>
        <w:outlineLvl w:val="0"/>
        <w:rPr>
          <w:color w:val="000000"/>
          <w:kern w:val="36"/>
          <w:sz w:val="40"/>
          <w:szCs w:val="40"/>
          <w:lang w:val="en-US"/>
        </w:rPr>
      </w:pPr>
    </w:p>
    <w:p w14:paraId="41FDB4BB" w14:textId="3D0B3CBB" w:rsidR="002920C7" w:rsidRPr="001177AF" w:rsidRDefault="002920C7" w:rsidP="002920C7">
      <w:pPr>
        <w:spacing w:before="400" w:after="120"/>
        <w:jc w:val="both"/>
        <w:outlineLvl w:val="0"/>
        <w:rPr>
          <w:color w:val="000000"/>
          <w:kern w:val="36"/>
          <w:sz w:val="40"/>
          <w:szCs w:val="40"/>
          <w:lang w:val="en-US"/>
        </w:rPr>
      </w:pPr>
    </w:p>
    <w:p w14:paraId="7325A0C1" w14:textId="05950F9E" w:rsidR="002920C7" w:rsidRPr="001177AF" w:rsidRDefault="002920C7" w:rsidP="002920C7">
      <w:pPr>
        <w:spacing w:before="400" w:after="120"/>
        <w:jc w:val="both"/>
        <w:outlineLvl w:val="0"/>
        <w:rPr>
          <w:color w:val="000000"/>
          <w:kern w:val="36"/>
          <w:sz w:val="40"/>
          <w:szCs w:val="40"/>
          <w:lang w:val="en-US"/>
        </w:rPr>
      </w:pPr>
    </w:p>
    <w:p w14:paraId="4284CB7B" w14:textId="7B7F1887" w:rsidR="002920C7" w:rsidRPr="001177AF" w:rsidRDefault="002920C7" w:rsidP="002920C7">
      <w:pPr>
        <w:spacing w:before="400" w:after="120"/>
        <w:jc w:val="both"/>
        <w:outlineLvl w:val="0"/>
        <w:rPr>
          <w:color w:val="000000"/>
          <w:kern w:val="36"/>
          <w:sz w:val="40"/>
          <w:szCs w:val="40"/>
          <w:lang w:val="en-US"/>
        </w:rPr>
      </w:pPr>
    </w:p>
    <w:p w14:paraId="55DCF3FE" w14:textId="18894858" w:rsidR="002920C7" w:rsidRPr="001177AF" w:rsidRDefault="002920C7" w:rsidP="002920C7">
      <w:pPr>
        <w:spacing w:before="400" w:after="120"/>
        <w:jc w:val="both"/>
        <w:outlineLvl w:val="0"/>
        <w:rPr>
          <w:color w:val="000000"/>
          <w:kern w:val="36"/>
          <w:sz w:val="40"/>
          <w:szCs w:val="40"/>
          <w:lang w:val="en-US"/>
        </w:rPr>
      </w:pPr>
    </w:p>
    <w:p w14:paraId="65A90F1D" w14:textId="21B5BFC0" w:rsidR="002920C7" w:rsidRPr="001177AF" w:rsidRDefault="002920C7" w:rsidP="002920C7">
      <w:pPr>
        <w:spacing w:before="400" w:after="120"/>
        <w:jc w:val="both"/>
        <w:outlineLvl w:val="0"/>
        <w:rPr>
          <w:color w:val="000000"/>
          <w:kern w:val="36"/>
          <w:sz w:val="40"/>
          <w:szCs w:val="40"/>
          <w:lang w:val="en-US"/>
        </w:rPr>
      </w:pPr>
    </w:p>
    <w:p w14:paraId="5489F806" w14:textId="4BFCDEC3" w:rsidR="002920C7" w:rsidRPr="001177AF" w:rsidRDefault="002920C7" w:rsidP="002920C7">
      <w:pPr>
        <w:spacing w:before="400" w:after="120"/>
        <w:jc w:val="both"/>
        <w:outlineLvl w:val="0"/>
        <w:rPr>
          <w:color w:val="000000"/>
          <w:kern w:val="36"/>
          <w:sz w:val="40"/>
          <w:szCs w:val="40"/>
          <w:lang w:val="en-US"/>
        </w:rPr>
      </w:pPr>
    </w:p>
    <w:p w14:paraId="52083BD9" w14:textId="77777777" w:rsidR="00541854" w:rsidRPr="001177AF" w:rsidRDefault="00541854" w:rsidP="00541854">
      <w:pPr>
        <w:rPr>
          <w:b/>
          <w:bCs/>
          <w:color w:val="000000"/>
          <w:kern w:val="36"/>
          <w:sz w:val="40"/>
          <w:szCs w:val="40"/>
          <w:lang w:val="en-US"/>
        </w:rPr>
      </w:pPr>
      <w:r w:rsidRPr="001177AF">
        <w:rPr>
          <w:color w:val="000000"/>
          <w:kern w:val="36"/>
          <w:sz w:val="40"/>
          <w:szCs w:val="40"/>
          <w:lang w:val="en-US"/>
        </w:rPr>
        <w:br w:type="page"/>
      </w:r>
    </w:p>
    <w:p w14:paraId="7D40861D" w14:textId="77777777" w:rsidR="00F815A7" w:rsidRPr="001177AF" w:rsidRDefault="00F815A7" w:rsidP="00541854">
      <w:pPr>
        <w:pStyle w:val="Heading2"/>
        <w:rPr>
          <w:lang w:val="en-US"/>
        </w:rPr>
        <w:sectPr w:rsidR="00F815A7" w:rsidRPr="001177AF" w:rsidSect="00950F2E">
          <w:footerReference w:type="even" r:id="rId8"/>
          <w:footerReference w:type="default" r:id="rId9"/>
          <w:pgSz w:w="11906" w:h="16838"/>
          <w:pgMar w:top="1418" w:right="1418" w:bottom="1418" w:left="1985" w:header="709" w:footer="709" w:gutter="0"/>
          <w:cols w:space="708"/>
          <w:docGrid w:linePitch="360"/>
        </w:sectPr>
      </w:pPr>
    </w:p>
    <w:p w14:paraId="0C8A8D7C" w14:textId="5504BB4D" w:rsidR="00541854" w:rsidRPr="001177AF" w:rsidRDefault="00541854" w:rsidP="00541854">
      <w:pPr>
        <w:pStyle w:val="Heading2"/>
        <w:rPr>
          <w:lang w:val="de-DE"/>
        </w:rPr>
      </w:pPr>
      <w:bookmarkStart w:id="24" w:name="_Toc132365725"/>
      <w:r w:rsidRPr="001177AF">
        <w:rPr>
          <w:lang w:val="de-DE"/>
        </w:rPr>
        <w:lastRenderedPageBreak/>
        <w:t>Summary (German)</w:t>
      </w:r>
      <w:bookmarkEnd w:id="24"/>
    </w:p>
    <w:p w14:paraId="4DF9514F" w14:textId="77777777" w:rsidR="00950F2E" w:rsidRPr="001177AF" w:rsidRDefault="00950F2E" w:rsidP="00950F2E">
      <w:pPr>
        <w:spacing w:line="276" w:lineRule="auto"/>
        <w:jc w:val="both"/>
        <w:rPr>
          <w:lang w:val="de-DE"/>
        </w:rPr>
      </w:pPr>
      <w:r w:rsidRPr="001177AF">
        <w:rPr>
          <w:lang w:val="de-DE"/>
        </w:rPr>
        <w:t xml:space="preserve">Der wachsende Trend zur individuellen Gesundheitsversorgung und Digitalisierung im Gesundheitswesen, z.B. mit Hilfe von </w:t>
      </w:r>
      <w:r w:rsidRPr="001177AF">
        <w:rPr>
          <w:i/>
          <w:iCs/>
          <w:lang w:val="de-DE"/>
        </w:rPr>
        <w:t xml:space="preserve">remote </w:t>
      </w:r>
      <w:proofErr w:type="spellStart"/>
      <w:r w:rsidRPr="001177AF">
        <w:rPr>
          <w:i/>
          <w:iCs/>
          <w:lang w:val="de-DE"/>
        </w:rPr>
        <w:t>monitoring</w:t>
      </w:r>
      <w:proofErr w:type="spellEnd"/>
      <w:r w:rsidRPr="001177AF">
        <w:rPr>
          <w:lang w:val="de-DE"/>
        </w:rPr>
        <w:t xml:space="preserve"> (Fernüberwachung), hat zu einem verstärkten Interesse an der Verwendung integrierter Sensoren in bspw. Smartphones und Smartwatches, in klinischen Studien geführt. Die von solchen Geräten erfassten gesundheitsbezogenen Daten werden als digitale Biomarker (DB) bezeichnet.  Im Gegensatz zu bisherigen klinischen Evaluationsmethoden liefern DB kostengünstige, objektive und ökologisch valide Daten. Mit Hilfe von DB ist es besser möglich, innerhalb klinischer Studien, eine größere und vielfältigere Population zu untersuchen. Darüber hinaus liefern </w:t>
      </w:r>
      <w:proofErr w:type="gramStart"/>
      <w:r w:rsidRPr="001177AF">
        <w:rPr>
          <w:lang w:val="de-DE"/>
        </w:rPr>
        <w:t>DB Daten</w:t>
      </w:r>
      <w:proofErr w:type="gramEnd"/>
      <w:r w:rsidRPr="001177AF">
        <w:rPr>
          <w:lang w:val="de-DE"/>
        </w:rPr>
        <w:t xml:space="preserve"> mit hoher zeitlicher und räumlicher Auflösung, was zu einem besseren Verständnis des Krankheitsverlaufs und -</w:t>
      </w:r>
      <w:proofErr w:type="spellStart"/>
      <w:r w:rsidRPr="001177AF">
        <w:rPr>
          <w:lang w:val="de-DE"/>
        </w:rPr>
        <w:t>fortschritts</w:t>
      </w:r>
      <w:proofErr w:type="spellEnd"/>
      <w:r w:rsidRPr="001177AF">
        <w:rPr>
          <w:lang w:val="de-DE"/>
        </w:rPr>
        <w:t xml:space="preserve"> beitragen kann. </w:t>
      </w:r>
    </w:p>
    <w:p w14:paraId="70B115F8" w14:textId="77777777" w:rsidR="00950F2E" w:rsidRPr="001177AF" w:rsidRDefault="00950F2E" w:rsidP="00950F2E">
      <w:pPr>
        <w:spacing w:line="276" w:lineRule="auto"/>
        <w:jc w:val="both"/>
        <w:rPr>
          <w:lang w:val="de-DE"/>
        </w:rPr>
      </w:pPr>
      <w:r w:rsidRPr="001177AF">
        <w:rPr>
          <w:lang w:val="de-DE"/>
        </w:rPr>
        <w:t xml:space="preserve">Aufgrund des Mangels an objektiven Bewertungsinstrumenten, stehen neurodegenerative Krankheiten im Fokus der DB-Forschung. Für die Erforschung DB eignet sich die </w:t>
      </w:r>
      <w:proofErr w:type="gramStart"/>
      <w:r w:rsidRPr="001177AF">
        <w:rPr>
          <w:lang w:val="de-DE"/>
        </w:rPr>
        <w:t>Parkinson Krankheit</w:t>
      </w:r>
      <w:proofErr w:type="gramEnd"/>
      <w:r w:rsidRPr="001177AF">
        <w:rPr>
          <w:lang w:val="de-DE"/>
        </w:rPr>
        <w:t xml:space="preserve"> (PD), hinsichtlich des heterogenen Eintrittsalters, der Symptomprävalenz, der Schweregradprogression und der vielseitigen Symptome besonders gut. Es erscheint notwendig, die Verwendung DB in die klinische Diagnostik von Parkinson zu integrieren. Diese Integration, v.a.  in </w:t>
      </w:r>
      <w:proofErr w:type="gramStart"/>
      <w:r w:rsidRPr="001177AF">
        <w:rPr>
          <w:lang w:val="de-DE"/>
        </w:rPr>
        <w:t>der  häuslichen</w:t>
      </w:r>
      <w:proofErr w:type="gramEnd"/>
      <w:r w:rsidRPr="001177AF">
        <w:rPr>
          <w:lang w:val="de-DE"/>
        </w:rPr>
        <w:t xml:space="preserve"> Umgebung, stellt jedoch eine praktische Herausforderungen dar. Darüber hinaus ist die longitudinale Stabilität von DB, die innerhalb solcher Umgebungen erhoben wurden, noch nicht ausreichend erforscht worden - bisherige Studien beschränken sich auf Laborsituationen. Ziel dieser Arbeit ist es, Erkenntnisse darüber zu erlangen, wie </w:t>
      </w:r>
      <w:r w:rsidRPr="001177AF">
        <w:rPr>
          <w:i/>
          <w:iCs/>
          <w:lang w:val="de-DE"/>
        </w:rPr>
        <w:t xml:space="preserve">remote </w:t>
      </w:r>
      <w:proofErr w:type="spellStart"/>
      <w:r w:rsidRPr="001177AF">
        <w:rPr>
          <w:i/>
          <w:iCs/>
          <w:lang w:val="de-DE"/>
        </w:rPr>
        <w:t>monitoring</w:t>
      </w:r>
      <w:proofErr w:type="spellEnd"/>
      <w:r w:rsidRPr="001177AF">
        <w:rPr>
          <w:lang w:val="de-DE"/>
        </w:rPr>
        <w:t xml:space="preserve"> in einer häuslichen Umgebung in Kombination mit einer Plattform zur Datenerhebung genutzt werden kann, um die Evaluation von Parkinson zu verbessern.</w:t>
      </w:r>
    </w:p>
    <w:p w14:paraId="54A4B5DE" w14:textId="77777777" w:rsidR="00950F2E" w:rsidRPr="001177AF" w:rsidRDefault="00950F2E" w:rsidP="00950F2E">
      <w:pPr>
        <w:spacing w:line="276" w:lineRule="auto"/>
        <w:jc w:val="both"/>
        <w:rPr>
          <w:lang w:val="de-DE"/>
        </w:rPr>
      </w:pPr>
      <w:r w:rsidRPr="001177AF">
        <w:rPr>
          <w:lang w:val="de-DE"/>
        </w:rPr>
        <w:t xml:space="preserve">Der erste Teil der Arbeit befasst sich mit der Plattform „JTrack", die für das </w:t>
      </w:r>
      <w:r w:rsidRPr="001177AF">
        <w:rPr>
          <w:i/>
          <w:iCs/>
          <w:lang w:val="de-DE"/>
        </w:rPr>
        <w:t xml:space="preserve">remote </w:t>
      </w:r>
      <w:proofErr w:type="spellStart"/>
      <w:r w:rsidRPr="001177AF">
        <w:rPr>
          <w:i/>
          <w:iCs/>
          <w:lang w:val="de-DE"/>
        </w:rPr>
        <w:t>monitoring</w:t>
      </w:r>
      <w:proofErr w:type="spellEnd"/>
      <w:r w:rsidRPr="001177AF">
        <w:rPr>
          <w:i/>
          <w:iCs/>
          <w:lang w:val="de-DE"/>
        </w:rPr>
        <w:t xml:space="preserve"> </w:t>
      </w:r>
      <w:r w:rsidRPr="001177AF">
        <w:rPr>
          <w:lang w:val="de-DE"/>
        </w:rPr>
        <w:t xml:space="preserve">von Krankheiten entwickelt wurde. „JTrack“ eignet sich dafür, mehrere Aspekte eines Krankheitsbildes zu erfassen und stellt somit ein umfassendes Messinstrument für klinische Studien dar. Zudem wird die Übereinstimmung der mit „JTrack" erfassten Daten mit zwei gängigen stationären Systemen zur Analyse von Gang und Gleichgewicht bewertet, um das Potenzial des Einsatzes von Smartphones und insbesondere </w:t>
      </w:r>
      <w:proofErr w:type="gramStart"/>
      <w:r w:rsidRPr="001177AF">
        <w:rPr>
          <w:lang w:val="de-DE"/>
        </w:rPr>
        <w:t>von  „</w:t>
      </w:r>
      <w:proofErr w:type="gramEnd"/>
      <w:r w:rsidRPr="001177AF">
        <w:rPr>
          <w:lang w:val="de-DE"/>
        </w:rPr>
        <w:t>JTrack" in künftigen klinischen Studien darzulegen.</w:t>
      </w:r>
    </w:p>
    <w:p w14:paraId="4DE1D958" w14:textId="77777777" w:rsidR="00950F2E" w:rsidRPr="001177AF" w:rsidRDefault="00950F2E" w:rsidP="00950F2E">
      <w:pPr>
        <w:spacing w:line="276" w:lineRule="auto"/>
        <w:jc w:val="both"/>
        <w:rPr>
          <w:lang w:val="de-DE"/>
        </w:rPr>
      </w:pPr>
      <w:r w:rsidRPr="001177AF">
        <w:rPr>
          <w:lang w:val="de-DE"/>
        </w:rPr>
        <w:t>Im zweiten Teil wird beschrieben, inwieweit häufig berichtete Merkmale von PD, als Biomarker verwendet werden können. Zu diesem Zweck wurde zunächst die Test-</w:t>
      </w:r>
      <w:proofErr w:type="spellStart"/>
      <w:r w:rsidRPr="001177AF">
        <w:rPr>
          <w:lang w:val="de-DE"/>
        </w:rPr>
        <w:t>Retest</w:t>
      </w:r>
      <w:proofErr w:type="spellEnd"/>
      <w:r w:rsidRPr="001177AF">
        <w:rPr>
          <w:lang w:val="de-DE"/>
        </w:rPr>
        <w:t xml:space="preserve">-Zuverlässigkeit und die longitudinale Stabilität dieser Merkmale untersucht. Anschließend wurden Algorithmen des maschinellen Lernens verwendet, um zu bewerten, inwiefern diese Merkmale verwendet werden können, um zwischen PD und gesunden Kontrollprobanden zu unterscheiden. Außerdem wurde der Einfluss verschiedener Störfaktoren wie Komorbiditäten, Alter und Geschlecht auf die Vorhersageleistung der maschinellen Lernalgorithmen untersucht. Dazu wurden verschiedenen Aufgaben (z.B. Gang, Gleichgewicht) der m-Power-Datenbank </w:t>
      </w:r>
      <w:r w:rsidRPr="001177AF">
        <w:rPr>
          <w:color w:val="000000" w:themeColor="text1"/>
          <w:lang w:val="de-DE"/>
        </w:rPr>
        <w:t>verwendet</w:t>
      </w:r>
      <w:r w:rsidRPr="001177AF">
        <w:rPr>
          <w:lang w:val="de-DE"/>
        </w:rPr>
        <w:t xml:space="preserve">, die im unkontrollierten, häuslichen Umfeld von den Patienten durchgeführt und mit Hilfe des </w:t>
      </w:r>
      <w:r w:rsidRPr="001177AF">
        <w:rPr>
          <w:i/>
          <w:iCs/>
          <w:lang w:val="de-DE"/>
        </w:rPr>
        <w:t xml:space="preserve">remote </w:t>
      </w:r>
      <w:proofErr w:type="spellStart"/>
      <w:r w:rsidRPr="001177AF">
        <w:rPr>
          <w:i/>
          <w:iCs/>
          <w:lang w:val="de-DE"/>
        </w:rPr>
        <w:t>monitorings</w:t>
      </w:r>
      <w:proofErr w:type="spellEnd"/>
      <w:r w:rsidRPr="001177AF">
        <w:rPr>
          <w:lang w:val="de-DE"/>
        </w:rPr>
        <w:t xml:space="preserve"> erfasst wurden.</w:t>
      </w:r>
    </w:p>
    <w:p w14:paraId="27B93C2C" w14:textId="77777777" w:rsidR="008004AC" w:rsidRPr="001177AF" w:rsidRDefault="00950F2E" w:rsidP="008004AC">
      <w:pPr>
        <w:spacing w:line="276" w:lineRule="auto"/>
        <w:jc w:val="both"/>
        <w:rPr>
          <w:lang w:val="de-DE"/>
        </w:rPr>
      </w:pPr>
      <w:r w:rsidRPr="001177AF">
        <w:rPr>
          <w:lang w:val="de-DE"/>
        </w:rPr>
        <w:t xml:space="preserve">Insgesamt werden innerhalb dieser Arbeit die Möglichkeiten und Grenzen der Verwendung von Smartphones für die Diagnose von PD diskutiert. Es werden zudem </w:t>
      </w:r>
      <w:r w:rsidRPr="001177AF">
        <w:rPr>
          <w:lang w:val="de-DE"/>
        </w:rPr>
        <w:lastRenderedPageBreak/>
        <w:t xml:space="preserve">mögliche beeinflussende Faktoren im Zusammenhang mit DB bei Fern- und selbstverwalteten Erfassungsmethoden dargestellt. Es wird außerdem verdeutlicht, dass </w:t>
      </w:r>
      <w:proofErr w:type="spellStart"/>
      <w:r w:rsidRPr="001177AF">
        <w:rPr>
          <w:lang w:val="de-DE"/>
        </w:rPr>
        <w:t>kontrolliertere</w:t>
      </w:r>
      <w:proofErr w:type="spellEnd"/>
      <w:r w:rsidRPr="001177AF">
        <w:rPr>
          <w:lang w:val="de-DE"/>
        </w:rPr>
        <w:t xml:space="preserve">, </w:t>
      </w:r>
      <w:proofErr w:type="spellStart"/>
      <w:r w:rsidRPr="001177AF">
        <w:rPr>
          <w:lang w:val="de-DE"/>
        </w:rPr>
        <w:t>standardisiertere</w:t>
      </w:r>
      <w:proofErr w:type="spellEnd"/>
      <w:r w:rsidRPr="001177AF">
        <w:rPr>
          <w:lang w:val="de-DE"/>
        </w:rPr>
        <w:t xml:space="preserve">, empfindlichere und zuverlässigere DB entwickelt werden müssen, bevor sie in klinischen Anwendungen (Apps) eingesetzt werden sollten. Schließlich wird eine neue DB-Plattform für das </w:t>
      </w:r>
      <w:r w:rsidRPr="001177AF">
        <w:rPr>
          <w:i/>
          <w:iCs/>
          <w:lang w:val="de-DE"/>
        </w:rPr>
        <w:t xml:space="preserve">remote </w:t>
      </w:r>
      <w:proofErr w:type="spellStart"/>
      <w:r w:rsidRPr="001177AF">
        <w:rPr>
          <w:i/>
          <w:iCs/>
          <w:lang w:val="de-DE"/>
        </w:rPr>
        <w:t>monitoring</w:t>
      </w:r>
      <w:proofErr w:type="spellEnd"/>
      <w:r w:rsidRPr="001177AF">
        <w:rPr>
          <w:lang w:val="de-DE"/>
        </w:rPr>
        <w:t xml:space="preserve"> vorgestellt, die für verschiedene Arten von Krankheiten genutzt werden kann</w:t>
      </w:r>
      <w:r w:rsidR="008004AC" w:rsidRPr="001177AF">
        <w:rPr>
          <w:lang w:val="de-DE"/>
        </w:rPr>
        <w:t>.</w:t>
      </w:r>
    </w:p>
    <w:p w14:paraId="064F00E7" w14:textId="77777777" w:rsidR="008004AC" w:rsidRPr="001177AF" w:rsidRDefault="008004AC">
      <w:pPr>
        <w:rPr>
          <w:lang w:val="de-DE"/>
        </w:rPr>
      </w:pPr>
      <w:r w:rsidRPr="001177AF">
        <w:rPr>
          <w:lang w:val="de-DE"/>
        </w:rPr>
        <w:br w:type="page"/>
      </w:r>
    </w:p>
    <w:p w14:paraId="20ECD0AC" w14:textId="1FE24C00" w:rsidR="00541854" w:rsidRPr="001177AF" w:rsidRDefault="00541854" w:rsidP="008004AC">
      <w:pPr>
        <w:pStyle w:val="Heading2"/>
        <w:rPr>
          <w:lang w:val="en-GB"/>
        </w:rPr>
      </w:pPr>
      <w:bookmarkStart w:id="25" w:name="_Toc132365726"/>
      <w:r w:rsidRPr="001177AF">
        <w:rPr>
          <w:lang w:val="en-GB"/>
        </w:rPr>
        <w:lastRenderedPageBreak/>
        <w:t>Summary</w:t>
      </w:r>
      <w:bookmarkEnd w:id="25"/>
    </w:p>
    <w:p w14:paraId="380E0BFC" w14:textId="5A445C9B" w:rsidR="00541854" w:rsidRPr="001177AF" w:rsidRDefault="00541854" w:rsidP="00950F2E">
      <w:pPr>
        <w:spacing w:line="276" w:lineRule="auto"/>
        <w:jc w:val="both"/>
        <w:rPr>
          <w:lang w:val="en-GB"/>
        </w:rPr>
      </w:pPr>
      <w:r w:rsidRPr="001177AF">
        <w:rPr>
          <w:lang w:val="en-GB"/>
        </w:rPr>
        <w:t xml:space="preserve">The growing trend of </w:t>
      </w:r>
      <w:r w:rsidR="005D54DC" w:rsidRPr="001177AF">
        <w:rPr>
          <w:lang w:val="en-GB"/>
        </w:rPr>
        <w:t>personalised</w:t>
      </w:r>
      <w:r w:rsidRPr="001177AF">
        <w:rPr>
          <w:lang w:val="en-GB"/>
        </w:rPr>
        <w:t xml:space="preserve"> health care and remote monitoring has led to increased interest in using embedded sensors in portable smart devices (smartphones and smartwatches) in clinical studies. Health-related data collected from such devices are referred to as Digital Biomarkers (DBs).  Unlike traditional in-clinic assessment methods, DBs provide cost-effective, objective, and ecologically valid data. DBs enable clinical studies to recruit a larger and more diverse population. Furthermore, DBs provide high temporal and spatial resolution data, which increase the chance of gaining a comprehensive understanding of disease progression.</w:t>
      </w:r>
    </w:p>
    <w:p w14:paraId="0DEE908D" w14:textId="3E05DEAD" w:rsidR="00541854" w:rsidRPr="001177AF" w:rsidRDefault="00541854" w:rsidP="00950F2E">
      <w:pPr>
        <w:spacing w:line="276" w:lineRule="auto"/>
        <w:jc w:val="both"/>
        <w:rPr>
          <w:lang w:val="en-GB"/>
        </w:rPr>
      </w:pPr>
      <w:r w:rsidRPr="001177AF">
        <w:rPr>
          <w:lang w:val="en-GB"/>
        </w:rPr>
        <w:t>Neurodegenerative diseases, due to their lack of accessible and objective assessment tools, have been a primary focus for the DBs research community. Parkinson's disease (</w:t>
      </w:r>
      <w:r w:rsidR="005D54DC" w:rsidRPr="001177AF">
        <w:rPr>
          <w:lang w:val="en-GB"/>
        </w:rPr>
        <w:t>PD) is</w:t>
      </w:r>
      <w:r w:rsidRPr="001177AF">
        <w:rPr>
          <w:lang w:val="en-GB"/>
        </w:rPr>
        <w:t xml:space="preserve"> particularly well-suited for studying DBs due to its heterogeneous onset age, symptom prevalence, severity progression rate, and multiple aspects of the disease. Therefore, there is a need to integrate DBs and remote assessment into the routine clinical evaluation of PD. However, using DBs for PD in non-controlled, at-home settings poses practical challenges that have hindered this goal. Additionally, the longitudinal stability of DBs collected in such settings has not yet been thoroughly investigated, with previous studies limited to in-lab settings. Thus, this thesis aims to provide insight into how remote monitoring in an at-home environment alongside the data collection methods can be leveraged to improve the way PD is assessed.</w:t>
      </w:r>
    </w:p>
    <w:p w14:paraId="142C2813" w14:textId="50AF2198" w:rsidR="00541854" w:rsidRPr="001177AF" w:rsidRDefault="00541854" w:rsidP="00950F2E">
      <w:pPr>
        <w:spacing w:line="276" w:lineRule="auto"/>
        <w:jc w:val="both"/>
        <w:rPr>
          <w:lang w:val="en-GB"/>
        </w:rPr>
      </w:pPr>
      <w:r w:rsidRPr="001177AF">
        <w:rPr>
          <w:lang w:val="en-GB"/>
        </w:rPr>
        <w:t xml:space="preserve">The first section of this dissertation focuses on introducing a platform named "JTrack", designed for remote disease monitoring and to address technical aspects such as security, privacy, modularity, and reusability. This platform aims to provide a comprehensive solution for clinical studies involving multiple aspects of various diseases. In addition, this section assesses the agreement between features collected through "JTrack" with two widely used stationary systems for </w:t>
      </w:r>
      <w:r w:rsidR="005D54DC" w:rsidRPr="001177AF">
        <w:rPr>
          <w:lang w:val="en-GB"/>
        </w:rPr>
        <w:t>analysing</w:t>
      </w:r>
      <w:r w:rsidRPr="001177AF">
        <w:rPr>
          <w:lang w:val="en-GB"/>
        </w:rPr>
        <w:t xml:space="preserve"> gait and balance, demonstrating the potential of using smartphones and particularly the "JTrack" platform in future clinical studies.</w:t>
      </w:r>
    </w:p>
    <w:p w14:paraId="7D0A12E0" w14:textId="77777777" w:rsidR="00541854" w:rsidRPr="001177AF" w:rsidRDefault="00541854" w:rsidP="00950F2E">
      <w:pPr>
        <w:spacing w:line="276" w:lineRule="auto"/>
        <w:jc w:val="both"/>
        <w:rPr>
          <w:lang w:val="en-GB"/>
        </w:rPr>
      </w:pPr>
      <w:r w:rsidRPr="001177AF">
        <w:rPr>
          <w:lang w:val="en-GB"/>
        </w:rPr>
        <w:t>The second part of this thesis investigates the potential of using various commonly reported features in PD studies as biomarkers. To do this, we first investigate these features' test-retest reliability and longitudinal stability, considering how the timescale may affect their stability. Next, we use various machine learning algorithms to assess the ability of these features to differentiate between PD and HC. Also, we evaluated the influence of different confounding factors such as comorbidities, age, and sex on the prediction performance of the machine learning algorithms. For this, the various tasks (gait, balance, voice, and tapping) of the m-Power database, collected remotely and in a self-managed setting, were investigated.</w:t>
      </w:r>
    </w:p>
    <w:p w14:paraId="721419BD" w14:textId="65CF9FB6" w:rsidR="005311A6" w:rsidRPr="001177AF" w:rsidRDefault="00541854" w:rsidP="00950F2E">
      <w:pPr>
        <w:spacing w:line="276" w:lineRule="auto"/>
        <w:jc w:val="both"/>
        <w:rPr>
          <w:lang w:val="en-GB"/>
        </w:rPr>
      </w:pPr>
      <w:r w:rsidRPr="001177AF">
        <w:rPr>
          <w:lang w:val="en-GB"/>
        </w:rPr>
        <w:t xml:space="preserve">Overall, this thesis discusses the potential and limitations of using smartphones for remote assessment of PD. It examines the possible sources of confounding factors related to DBs in remote and self-managed collection methods. It also highlights the need to develop more controlled, </w:t>
      </w:r>
      <w:r w:rsidR="005D54DC" w:rsidRPr="001177AF">
        <w:rPr>
          <w:lang w:val="en-GB"/>
        </w:rPr>
        <w:t>standardised</w:t>
      </w:r>
      <w:r w:rsidRPr="001177AF">
        <w:rPr>
          <w:lang w:val="en-GB"/>
        </w:rPr>
        <w:t>, sensitive, and reliable DBs before taking them into any clinical application. This thesis also introduces a new DBs platform for remote assessment, which can be leveraged for various types of disease.</w:t>
      </w:r>
      <w:r w:rsidR="005311A6" w:rsidRPr="001177AF">
        <w:rPr>
          <w:lang w:val="en-GB"/>
        </w:rPr>
        <w:br w:type="page"/>
      </w:r>
    </w:p>
    <w:p w14:paraId="5F1A0F5A" w14:textId="62FF2AA6" w:rsidR="000115E8" w:rsidRPr="001177AF" w:rsidRDefault="000115E8" w:rsidP="000115E8">
      <w:pPr>
        <w:pStyle w:val="Heading2"/>
        <w:rPr>
          <w:lang w:val="en-GB"/>
        </w:rPr>
      </w:pPr>
      <w:bookmarkStart w:id="26" w:name="_Toc132365727"/>
      <w:r w:rsidRPr="001177AF">
        <w:rPr>
          <w:lang w:val="en-GB"/>
        </w:rPr>
        <w:lastRenderedPageBreak/>
        <w:t xml:space="preserve">List of </w:t>
      </w:r>
      <w:r w:rsidR="00997A8E" w:rsidRPr="001177AF">
        <w:rPr>
          <w:lang w:val="en-GB"/>
        </w:rPr>
        <w:t>Abbreviations</w:t>
      </w:r>
      <w:bookmarkEnd w:id="26"/>
    </w:p>
    <w:p w14:paraId="2DA235D4" w14:textId="28290D7D" w:rsidR="0098208E" w:rsidRPr="001177AF" w:rsidRDefault="005C6B30" w:rsidP="009E06E4">
      <w:pPr>
        <w:rPr>
          <w:lang w:val="en-GB"/>
        </w:rPr>
      </w:pPr>
      <w:r w:rsidRPr="001177AF">
        <w:rPr>
          <w:b/>
          <w:bCs/>
          <w:lang w:val="en-GB"/>
        </w:rPr>
        <w:t>DB</w:t>
      </w:r>
      <w:r w:rsidRPr="001177AF">
        <w:rPr>
          <w:lang w:val="en-GB"/>
        </w:rPr>
        <w:tab/>
      </w:r>
      <w:r w:rsidRPr="001177AF">
        <w:rPr>
          <w:lang w:val="en-GB"/>
        </w:rPr>
        <w:tab/>
      </w:r>
      <w:r w:rsidRPr="001177AF">
        <w:rPr>
          <w:lang w:val="en-GB"/>
        </w:rPr>
        <w:tab/>
        <w:t>Digital Biomarker</w:t>
      </w:r>
    </w:p>
    <w:p w14:paraId="020B2671" w14:textId="673DCBDA" w:rsidR="0098208E" w:rsidRPr="001177AF" w:rsidRDefault="005C6B30" w:rsidP="009E06E4">
      <w:pPr>
        <w:rPr>
          <w:color w:val="000000"/>
          <w:lang w:val="en-GB"/>
        </w:rPr>
      </w:pPr>
      <w:r w:rsidRPr="001177AF">
        <w:rPr>
          <w:b/>
          <w:bCs/>
          <w:lang w:val="en-GB"/>
        </w:rPr>
        <w:t>PD</w:t>
      </w:r>
      <w:r w:rsidRPr="001177AF">
        <w:rPr>
          <w:lang w:val="en-GB"/>
        </w:rPr>
        <w:tab/>
      </w:r>
      <w:r w:rsidRPr="001177AF">
        <w:rPr>
          <w:lang w:val="en-GB"/>
        </w:rPr>
        <w:tab/>
      </w:r>
      <w:r w:rsidRPr="001177AF">
        <w:rPr>
          <w:lang w:val="en-GB"/>
        </w:rPr>
        <w:tab/>
      </w:r>
      <w:r w:rsidR="004E0CB0" w:rsidRPr="001177AF">
        <w:rPr>
          <w:color w:val="000000"/>
          <w:lang w:val="en-GB"/>
        </w:rPr>
        <w:t>Parkinson's</w:t>
      </w:r>
      <w:r w:rsidRPr="001177AF">
        <w:rPr>
          <w:color w:val="000000"/>
          <w:lang w:val="en-GB"/>
        </w:rPr>
        <w:t xml:space="preserve"> Disease</w:t>
      </w:r>
    </w:p>
    <w:p w14:paraId="564150F0" w14:textId="7A4D5768" w:rsidR="0098208E" w:rsidRPr="001177AF" w:rsidRDefault="005C6B30" w:rsidP="009E06E4">
      <w:pPr>
        <w:rPr>
          <w:lang w:val="en-GB"/>
        </w:rPr>
      </w:pPr>
      <w:r w:rsidRPr="001177AF">
        <w:rPr>
          <w:b/>
          <w:bCs/>
          <w:lang w:val="en-GB"/>
        </w:rPr>
        <w:t>HC</w:t>
      </w:r>
      <w:r w:rsidRPr="001177AF">
        <w:rPr>
          <w:lang w:val="en-GB"/>
        </w:rPr>
        <w:tab/>
      </w:r>
      <w:r w:rsidRPr="001177AF">
        <w:rPr>
          <w:lang w:val="en-GB"/>
        </w:rPr>
        <w:tab/>
      </w:r>
      <w:r w:rsidRPr="001177AF">
        <w:rPr>
          <w:lang w:val="en-GB"/>
        </w:rPr>
        <w:tab/>
        <w:t>Healthy Control</w:t>
      </w:r>
    </w:p>
    <w:p w14:paraId="6140DBE2" w14:textId="534BB40E" w:rsidR="0098208E" w:rsidRPr="001177AF" w:rsidRDefault="005C6B30" w:rsidP="009E06E4">
      <w:pPr>
        <w:rPr>
          <w:color w:val="191919"/>
          <w:shd w:val="clear" w:color="auto" w:fill="FFFFFF"/>
          <w:lang w:val="en-GB"/>
        </w:rPr>
      </w:pPr>
      <w:r w:rsidRPr="001177AF">
        <w:rPr>
          <w:b/>
          <w:bCs/>
          <w:lang w:val="en-GB"/>
        </w:rPr>
        <w:t>GDPR</w:t>
      </w:r>
      <w:r w:rsidRPr="001177AF">
        <w:rPr>
          <w:b/>
          <w:bCs/>
          <w:lang w:val="en-GB"/>
        </w:rPr>
        <w:tab/>
      </w:r>
      <w:r w:rsidRPr="001177AF">
        <w:rPr>
          <w:lang w:val="en-GB"/>
        </w:rPr>
        <w:tab/>
      </w:r>
      <w:r w:rsidRPr="001177AF">
        <w:rPr>
          <w:lang w:val="en-GB"/>
        </w:rPr>
        <w:tab/>
      </w:r>
      <w:r w:rsidRPr="001177AF">
        <w:rPr>
          <w:color w:val="191919"/>
          <w:shd w:val="clear" w:color="auto" w:fill="FFFFFF"/>
          <w:lang w:val="en-GB"/>
        </w:rPr>
        <w:t>General Data Protection Regulation</w:t>
      </w:r>
    </w:p>
    <w:p w14:paraId="38D4FC66" w14:textId="4191CA19" w:rsidR="0098208E" w:rsidRPr="001177AF" w:rsidRDefault="005C6B30" w:rsidP="009E06E4">
      <w:pPr>
        <w:ind w:left="2160" w:hanging="2160"/>
        <w:rPr>
          <w:color w:val="000000"/>
          <w:lang w:val="en-GB"/>
        </w:rPr>
      </w:pPr>
      <w:r w:rsidRPr="001177AF">
        <w:rPr>
          <w:b/>
          <w:bCs/>
          <w:lang w:val="en-GB"/>
        </w:rPr>
        <w:t>MDS-UPDRS</w:t>
      </w:r>
      <w:r w:rsidRPr="001177AF">
        <w:rPr>
          <w:lang w:val="en-GB"/>
        </w:rPr>
        <w:tab/>
      </w:r>
      <w:r w:rsidRPr="001177AF">
        <w:rPr>
          <w:color w:val="000000"/>
          <w:lang w:val="en-GB"/>
        </w:rPr>
        <w:t xml:space="preserve">Movement Disorder </w:t>
      </w:r>
      <w:r w:rsidR="004E0CB0" w:rsidRPr="001177AF">
        <w:rPr>
          <w:color w:val="000000"/>
          <w:lang w:val="en-GB"/>
        </w:rPr>
        <w:t>Society's</w:t>
      </w:r>
      <w:r w:rsidR="00A310B6" w:rsidRPr="001177AF">
        <w:rPr>
          <w:color w:val="000000"/>
          <w:lang w:val="en-GB"/>
        </w:rPr>
        <w:t xml:space="preserve"> </w:t>
      </w:r>
      <w:r w:rsidRPr="001177AF">
        <w:rPr>
          <w:color w:val="000000"/>
          <w:lang w:val="en-GB"/>
        </w:rPr>
        <w:t xml:space="preserve">Unified </w:t>
      </w:r>
      <w:r w:rsidR="004E0CB0" w:rsidRPr="001177AF">
        <w:rPr>
          <w:color w:val="000000"/>
          <w:lang w:val="en-GB"/>
        </w:rPr>
        <w:t>Parkinson's</w:t>
      </w:r>
      <w:r w:rsidRPr="001177AF">
        <w:rPr>
          <w:color w:val="000000"/>
          <w:lang w:val="en-GB"/>
        </w:rPr>
        <w:t xml:space="preserve"> Disease Rating Scale</w:t>
      </w:r>
    </w:p>
    <w:p w14:paraId="0C980615" w14:textId="03CDBD36" w:rsidR="005C6B30" w:rsidRPr="001177AF" w:rsidRDefault="005C6B30" w:rsidP="009E06E4">
      <w:pPr>
        <w:rPr>
          <w:lang w:val="en-GB"/>
        </w:rPr>
      </w:pPr>
      <w:r w:rsidRPr="001177AF">
        <w:rPr>
          <w:b/>
          <w:bCs/>
          <w:lang w:val="en-GB"/>
        </w:rPr>
        <w:t>IMU</w:t>
      </w:r>
      <w:r w:rsidRPr="001177AF">
        <w:rPr>
          <w:lang w:val="en-GB"/>
        </w:rPr>
        <w:tab/>
      </w:r>
      <w:r w:rsidR="00A310B6" w:rsidRPr="001177AF">
        <w:rPr>
          <w:lang w:val="en-GB"/>
        </w:rPr>
        <w:tab/>
      </w:r>
      <w:r w:rsidR="00A310B6" w:rsidRPr="001177AF">
        <w:rPr>
          <w:lang w:val="en-GB"/>
        </w:rPr>
        <w:tab/>
      </w:r>
      <w:r w:rsidRPr="001177AF">
        <w:rPr>
          <w:lang w:val="en-GB"/>
        </w:rPr>
        <w:t>Inertial Measurement Unit</w:t>
      </w:r>
    </w:p>
    <w:p w14:paraId="3827F717" w14:textId="77777777" w:rsidR="005C6B30" w:rsidRPr="001177AF" w:rsidRDefault="005C6B30" w:rsidP="00A310B6">
      <w:pPr>
        <w:rPr>
          <w:lang w:val="en-GB"/>
        </w:rPr>
      </w:pPr>
    </w:p>
    <w:bookmarkStart w:id="27" w:name="_Toc132365728" w:displacedByCustomXml="next"/>
    <w:sdt>
      <w:sdtPr>
        <w:rPr>
          <w:b w:val="0"/>
          <w:bCs w:val="0"/>
          <w:sz w:val="24"/>
          <w:szCs w:val="24"/>
          <w:lang w:val="en-GB"/>
        </w:rPr>
        <w:id w:val="622655703"/>
        <w:docPartObj>
          <w:docPartGallery w:val="Table of Contents"/>
          <w:docPartUnique/>
        </w:docPartObj>
      </w:sdtPr>
      <w:sdtEndPr>
        <w:rPr>
          <w:noProof/>
        </w:rPr>
      </w:sdtEndPr>
      <w:sdtContent>
        <w:p w14:paraId="73CD2755" w14:textId="77777777" w:rsidR="00637D61" w:rsidRDefault="005A6987" w:rsidP="00DD012E">
          <w:pPr>
            <w:pStyle w:val="Heading2"/>
            <w:rPr>
              <w:noProof/>
            </w:rPr>
          </w:pPr>
          <w:r w:rsidRPr="001177AF">
            <w:rPr>
              <w:lang w:val="en-GB"/>
            </w:rPr>
            <w:t>Table of Contents</w:t>
          </w:r>
          <w:bookmarkEnd w:id="27"/>
          <w:r w:rsidR="001133B5" w:rsidRPr="001177AF">
            <w:rPr>
              <w:i/>
              <w:iCs/>
              <w:sz w:val="22"/>
              <w:szCs w:val="22"/>
              <w:lang w:val="en-GB"/>
            </w:rPr>
            <w:fldChar w:fldCharType="begin"/>
          </w:r>
          <w:r w:rsidR="001133B5" w:rsidRPr="001177AF">
            <w:rPr>
              <w:lang w:val="en-GB"/>
            </w:rPr>
            <w:instrText xml:space="preserve"> TOC \o "1-3" \h \z \u </w:instrText>
          </w:r>
          <w:r w:rsidR="001133B5" w:rsidRPr="001177AF">
            <w:rPr>
              <w:i/>
              <w:iCs/>
              <w:sz w:val="22"/>
              <w:szCs w:val="22"/>
              <w:lang w:val="en-GB"/>
            </w:rPr>
            <w:fldChar w:fldCharType="separate"/>
          </w:r>
        </w:p>
        <w:p w14:paraId="3B0622D4" w14:textId="69EDCD8C" w:rsidR="00637D61" w:rsidRDefault="00000000">
          <w:pPr>
            <w:pStyle w:val="TOC2"/>
            <w:rPr>
              <w:rFonts w:eastAsiaTheme="minorEastAsia" w:cstheme="minorBidi"/>
              <w:b w:val="0"/>
              <w:bCs w:val="0"/>
              <w:noProof/>
              <w:sz w:val="24"/>
              <w:szCs w:val="24"/>
            </w:rPr>
          </w:pPr>
          <w:hyperlink w:anchor="_Toc132365725" w:history="1">
            <w:r w:rsidR="00637D61" w:rsidRPr="000C00A9">
              <w:rPr>
                <w:rStyle w:val="Hyperlink"/>
                <w:noProof/>
                <w:lang w:val="de-DE"/>
              </w:rPr>
              <w:t>Summary (German)</w:t>
            </w:r>
            <w:r w:rsidR="00637D61">
              <w:rPr>
                <w:noProof/>
                <w:webHidden/>
              </w:rPr>
              <w:tab/>
            </w:r>
            <w:r w:rsidR="00637D61">
              <w:rPr>
                <w:noProof/>
                <w:webHidden/>
              </w:rPr>
              <w:fldChar w:fldCharType="begin"/>
            </w:r>
            <w:r w:rsidR="00637D61">
              <w:rPr>
                <w:noProof/>
                <w:webHidden/>
              </w:rPr>
              <w:instrText xml:space="preserve"> PAGEREF _Toc132365725 \h </w:instrText>
            </w:r>
            <w:r w:rsidR="00637D61">
              <w:rPr>
                <w:noProof/>
                <w:webHidden/>
              </w:rPr>
            </w:r>
            <w:r w:rsidR="00637D61">
              <w:rPr>
                <w:noProof/>
                <w:webHidden/>
              </w:rPr>
              <w:fldChar w:fldCharType="separate"/>
            </w:r>
            <w:r w:rsidR="0003528E">
              <w:rPr>
                <w:noProof/>
                <w:webHidden/>
              </w:rPr>
              <w:t>I</w:t>
            </w:r>
            <w:r w:rsidR="00637D61">
              <w:rPr>
                <w:noProof/>
                <w:webHidden/>
              </w:rPr>
              <w:fldChar w:fldCharType="end"/>
            </w:r>
          </w:hyperlink>
        </w:p>
        <w:p w14:paraId="7572E406" w14:textId="01F15A9C" w:rsidR="00637D61" w:rsidRDefault="00000000">
          <w:pPr>
            <w:pStyle w:val="TOC2"/>
            <w:rPr>
              <w:rFonts w:eastAsiaTheme="minorEastAsia" w:cstheme="minorBidi"/>
              <w:b w:val="0"/>
              <w:bCs w:val="0"/>
              <w:noProof/>
              <w:sz w:val="24"/>
              <w:szCs w:val="24"/>
            </w:rPr>
          </w:pPr>
          <w:hyperlink w:anchor="_Toc132365726" w:history="1">
            <w:r w:rsidR="00637D61" w:rsidRPr="000C00A9">
              <w:rPr>
                <w:rStyle w:val="Hyperlink"/>
                <w:noProof/>
                <w:lang w:val="en-GB"/>
              </w:rPr>
              <w:t>Summary</w:t>
            </w:r>
            <w:r w:rsidR="00637D61">
              <w:rPr>
                <w:noProof/>
                <w:webHidden/>
              </w:rPr>
              <w:tab/>
            </w:r>
            <w:r w:rsidR="00637D61">
              <w:rPr>
                <w:noProof/>
                <w:webHidden/>
              </w:rPr>
              <w:fldChar w:fldCharType="begin"/>
            </w:r>
            <w:r w:rsidR="00637D61">
              <w:rPr>
                <w:noProof/>
                <w:webHidden/>
              </w:rPr>
              <w:instrText xml:space="preserve"> PAGEREF _Toc132365726 \h </w:instrText>
            </w:r>
            <w:r w:rsidR="00637D61">
              <w:rPr>
                <w:noProof/>
                <w:webHidden/>
              </w:rPr>
            </w:r>
            <w:r w:rsidR="00637D61">
              <w:rPr>
                <w:noProof/>
                <w:webHidden/>
              </w:rPr>
              <w:fldChar w:fldCharType="separate"/>
            </w:r>
            <w:r w:rsidR="0003528E">
              <w:rPr>
                <w:noProof/>
                <w:webHidden/>
              </w:rPr>
              <w:t>III</w:t>
            </w:r>
            <w:r w:rsidR="00637D61">
              <w:rPr>
                <w:noProof/>
                <w:webHidden/>
              </w:rPr>
              <w:fldChar w:fldCharType="end"/>
            </w:r>
          </w:hyperlink>
        </w:p>
        <w:p w14:paraId="53A29F2F" w14:textId="2B5A1109" w:rsidR="00637D61" w:rsidRDefault="00000000">
          <w:pPr>
            <w:pStyle w:val="TOC2"/>
            <w:rPr>
              <w:rFonts w:eastAsiaTheme="minorEastAsia" w:cstheme="minorBidi"/>
              <w:b w:val="0"/>
              <w:bCs w:val="0"/>
              <w:noProof/>
              <w:sz w:val="24"/>
              <w:szCs w:val="24"/>
            </w:rPr>
          </w:pPr>
          <w:hyperlink w:anchor="_Toc132365727" w:history="1">
            <w:r w:rsidR="00637D61" w:rsidRPr="000C00A9">
              <w:rPr>
                <w:rStyle w:val="Hyperlink"/>
                <w:noProof/>
                <w:lang w:val="en-GB"/>
              </w:rPr>
              <w:t>List of Abbreviations</w:t>
            </w:r>
            <w:r w:rsidR="00637D61">
              <w:rPr>
                <w:noProof/>
                <w:webHidden/>
              </w:rPr>
              <w:tab/>
            </w:r>
            <w:r w:rsidR="00637D61">
              <w:rPr>
                <w:noProof/>
                <w:webHidden/>
              </w:rPr>
              <w:fldChar w:fldCharType="begin"/>
            </w:r>
            <w:r w:rsidR="00637D61">
              <w:rPr>
                <w:noProof/>
                <w:webHidden/>
              </w:rPr>
              <w:instrText xml:space="preserve"> PAGEREF _Toc132365727 \h </w:instrText>
            </w:r>
            <w:r w:rsidR="00637D61">
              <w:rPr>
                <w:noProof/>
                <w:webHidden/>
              </w:rPr>
            </w:r>
            <w:r w:rsidR="00637D61">
              <w:rPr>
                <w:noProof/>
                <w:webHidden/>
              </w:rPr>
              <w:fldChar w:fldCharType="separate"/>
            </w:r>
            <w:r w:rsidR="0003528E">
              <w:rPr>
                <w:noProof/>
                <w:webHidden/>
              </w:rPr>
              <w:t>IV</w:t>
            </w:r>
            <w:r w:rsidR="00637D61">
              <w:rPr>
                <w:noProof/>
                <w:webHidden/>
              </w:rPr>
              <w:fldChar w:fldCharType="end"/>
            </w:r>
          </w:hyperlink>
        </w:p>
        <w:p w14:paraId="20C1A239" w14:textId="40E7D12A" w:rsidR="00637D61" w:rsidRDefault="00000000">
          <w:pPr>
            <w:pStyle w:val="TOC2"/>
            <w:rPr>
              <w:rFonts w:eastAsiaTheme="minorEastAsia" w:cstheme="minorBidi"/>
              <w:b w:val="0"/>
              <w:bCs w:val="0"/>
              <w:noProof/>
              <w:sz w:val="24"/>
              <w:szCs w:val="24"/>
            </w:rPr>
          </w:pPr>
          <w:hyperlink w:anchor="_Toc132365728" w:history="1">
            <w:r w:rsidR="00637D61" w:rsidRPr="000C00A9">
              <w:rPr>
                <w:rStyle w:val="Hyperlink"/>
                <w:noProof/>
                <w:lang w:val="en-GB"/>
              </w:rPr>
              <w:t>Table of Contents</w:t>
            </w:r>
            <w:r w:rsidR="00637D61">
              <w:rPr>
                <w:noProof/>
                <w:webHidden/>
              </w:rPr>
              <w:tab/>
            </w:r>
            <w:r w:rsidR="00637D61">
              <w:rPr>
                <w:noProof/>
                <w:webHidden/>
              </w:rPr>
              <w:fldChar w:fldCharType="begin"/>
            </w:r>
            <w:r w:rsidR="00637D61">
              <w:rPr>
                <w:noProof/>
                <w:webHidden/>
              </w:rPr>
              <w:instrText xml:space="preserve"> PAGEREF _Toc132365728 \h </w:instrText>
            </w:r>
            <w:r w:rsidR="00637D61">
              <w:rPr>
                <w:noProof/>
                <w:webHidden/>
              </w:rPr>
            </w:r>
            <w:r w:rsidR="00637D61">
              <w:rPr>
                <w:noProof/>
                <w:webHidden/>
              </w:rPr>
              <w:fldChar w:fldCharType="separate"/>
            </w:r>
            <w:r w:rsidR="0003528E">
              <w:rPr>
                <w:noProof/>
                <w:webHidden/>
              </w:rPr>
              <w:t>IV</w:t>
            </w:r>
            <w:r w:rsidR="00637D61">
              <w:rPr>
                <w:noProof/>
                <w:webHidden/>
              </w:rPr>
              <w:fldChar w:fldCharType="end"/>
            </w:r>
          </w:hyperlink>
        </w:p>
        <w:p w14:paraId="3F791782" w14:textId="5320B743" w:rsidR="00637D61" w:rsidRDefault="00000000">
          <w:pPr>
            <w:pStyle w:val="TOC2"/>
            <w:rPr>
              <w:rFonts w:eastAsiaTheme="minorEastAsia" w:cstheme="minorBidi"/>
              <w:b w:val="0"/>
              <w:bCs w:val="0"/>
              <w:noProof/>
              <w:sz w:val="24"/>
              <w:szCs w:val="24"/>
            </w:rPr>
          </w:pPr>
          <w:hyperlink w:anchor="_Toc132365729" w:history="1">
            <w:r w:rsidR="00637D61" w:rsidRPr="000C00A9">
              <w:rPr>
                <w:rStyle w:val="Hyperlink"/>
                <w:noProof/>
                <w:lang w:val="en-GB"/>
              </w:rPr>
              <w:t>Introduction</w:t>
            </w:r>
            <w:r w:rsidR="00637D61">
              <w:rPr>
                <w:noProof/>
                <w:webHidden/>
              </w:rPr>
              <w:tab/>
            </w:r>
            <w:r w:rsidR="00637D61">
              <w:rPr>
                <w:noProof/>
                <w:webHidden/>
              </w:rPr>
              <w:fldChar w:fldCharType="begin"/>
            </w:r>
            <w:r w:rsidR="00637D61">
              <w:rPr>
                <w:noProof/>
                <w:webHidden/>
              </w:rPr>
              <w:instrText xml:space="preserve"> PAGEREF _Toc132365729 \h </w:instrText>
            </w:r>
            <w:r w:rsidR="00637D61">
              <w:rPr>
                <w:noProof/>
                <w:webHidden/>
              </w:rPr>
            </w:r>
            <w:r w:rsidR="00637D61">
              <w:rPr>
                <w:noProof/>
                <w:webHidden/>
              </w:rPr>
              <w:fldChar w:fldCharType="separate"/>
            </w:r>
            <w:r w:rsidR="0003528E">
              <w:rPr>
                <w:noProof/>
                <w:webHidden/>
              </w:rPr>
              <w:t>1</w:t>
            </w:r>
            <w:r w:rsidR="00637D61">
              <w:rPr>
                <w:noProof/>
                <w:webHidden/>
              </w:rPr>
              <w:fldChar w:fldCharType="end"/>
            </w:r>
          </w:hyperlink>
        </w:p>
        <w:p w14:paraId="2387B5E9" w14:textId="4D889390" w:rsidR="00637D61" w:rsidRDefault="00000000">
          <w:pPr>
            <w:pStyle w:val="TOC2"/>
            <w:rPr>
              <w:rFonts w:eastAsiaTheme="minorEastAsia" w:cstheme="minorBidi"/>
              <w:b w:val="0"/>
              <w:bCs w:val="0"/>
              <w:noProof/>
              <w:sz w:val="24"/>
              <w:szCs w:val="24"/>
            </w:rPr>
          </w:pPr>
          <w:hyperlink w:anchor="_Toc132365730" w:history="1">
            <w:r w:rsidR="00637D61" w:rsidRPr="000C00A9">
              <w:rPr>
                <w:rStyle w:val="Hyperlink"/>
                <w:rFonts w:eastAsiaTheme="minorHAnsi"/>
                <w:noProof/>
                <w:lang w:val="en-GB"/>
              </w:rPr>
              <w:t>Ethics protocols</w:t>
            </w:r>
            <w:r w:rsidR="00637D61">
              <w:rPr>
                <w:noProof/>
                <w:webHidden/>
              </w:rPr>
              <w:tab/>
            </w:r>
            <w:r w:rsidR="00637D61">
              <w:rPr>
                <w:noProof/>
                <w:webHidden/>
              </w:rPr>
              <w:fldChar w:fldCharType="begin"/>
            </w:r>
            <w:r w:rsidR="00637D61">
              <w:rPr>
                <w:noProof/>
                <w:webHidden/>
              </w:rPr>
              <w:instrText xml:space="preserve"> PAGEREF _Toc132365730 \h </w:instrText>
            </w:r>
            <w:r w:rsidR="00637D61">
              <w:rPr>
                <w:noProof/>
                <w:webHidden/>
              </w:rPr>
            </w:r>
            <w:r w:rsidR="00637D61">
              <w:rPr>
                <w:noProof/>
                <w:webHidden/>
              </w:rPr>
              <w:fldChar w:fldCharType="separate"/>
            </w:r>
            <w:r w:rsidR="0003528E">
              <w:rPr>
                <w:noProof/>
                <w:webHidden/>
              </w:rPr>
              <w:t>6</w:t>
            </w:r>
            <w:r w:rsidR="00637D61">
              <w:rPr>
                <w:noProof/>
                <w:webHidden/>
              </w:rPr>
              <w:fldChar w:fldCharType="end"/>
            </w:r>
          </w:hyperlink>
        </w:p>
        <w:p w14:paraId="285A83C3" w14:textId="758E209F" w:rsidR="00637D61" w:rsidRDefault="00000000">
          <w:pPr>
            <w:pStyle w:val="TOC2"/>
            <w:rPr>
              <w:rFonts w:eastAsiaTheme="minorEastAsia" w:cstheme="minorBidi"/>
              <w:b w:val="0"/>
              <w:bCs w:val="0"/>
              <w:noProof/>
              <w:sz w:val="24"/>
              <w:szCs w:val="24"/>
            </w:rPr>
          </w:pPr>
          <w:hyperlink w:anchor="_Toc132365731" w:history="1">
            <w:r w:rsidR="00637D61" w:rsidRPr="000C00A9">
              <w:rPr>
                <w:rStyle w:val="Hyperlink"/>
                <w:noProof/>
                <w:lang w:val="en-GB"/>
              </w:rPr>
              <w:t>Aims and Organization of this Thesis</w:t>
            </w:r>
            <w:r w:rsidR="00637D61">
              <w:rPr>
                <w:noProof/>
                <w:webHidden/>
              </w:rPr>
              <w:tab/>
            </w:r>
            <w:r w:rsidR="00637D61">
              <w:rPr>
                <w:noProof/>
                <w:webHidden/>
              </w:rPr>
              <w:fldChar w:fldCharType="begin"/>
            </w:r>
            <w:r w:rsidR="00637D61">
              <w:rPr>
                <w:noProof/>
                <w:webHidden/>
              </w:rPr>
              <w:instrText xml:space="preserve"> PAGEREF _Toc132365731 \h </w:instrText>
            </w:r>
            <w:r w:rsidR="00637D61">
              <w:rPr>
                <w:noProof/>
                <w:webHidden/>
              </w:rPr>
            </w:r>
            <w:r w:rsidR="00637D61">
              <w:rPr>
                <w:noProof/>
                <w:webHidden/>
              </w:rPr>
              <w:fldChar w:fldCharType="separate"/>
            </w:r>
            <w:r w:rsidR="0003528E">
              <w:rPr>
                <w:noProof/>
                <w:webHidden/>
              </w:rPr>
              <w:t>6</w:t>
            </w:r>
            <w:r w:rsidR="00637D61">
              <w:rPr>
                <w:noProof/>
                <w:webHidden/>
              </w:rPr>
              <w:fldChar w:fldCharType="end"/>
            </w:r>
          </w:hyperlink>
        </w:p>
        <w:p w14:paraId="337D9AB2" w14:textId="063E9D62" w:rsidR="00637D61" w:rsidRDefault="00000000">
          <w:pPr>
            <w:pStyle w:val="TOC2"/>
            <w:rPr>
              <w:rFonts w:eastAsiaTheme="minorEastAsia" w:cstheme="minorBidi"/>
              <w:b w:val="0"/>
              <w:bCs w:val="0"/>
              <w:noProof/>
              <w:sz w:val="24"/>
              <w:szCs w:val="24"/>
            </w:rPr>
          </w:pPr>
          <w:hyperlink w:anchor="_Toc132365732" w:history="1">
            <w:r w:rsidR="00637D61" w:rsidRPr="000C00A9">
              <w:rPr>
                <w:rStyle w:val="Hyperlink"/>
                <w:noProof/>
                <w:lang w:val="en-GB"/>
              </w:rPr>
              <w:t>Paper1: JTrack: A Digital Biomarker Platform for Remote Monitoring of Daily-Life Behavior in Health and Disease</w:t>
            </w:r>
            <w:r w:rsidR="00637D61">
              <w:rPr>
                <w:noProof/>
                <w:webHidden/>
              </w:rPr>
              <w:tab/>
            </w:r>
            <w:r w:rsidR="00637D61">
              <w:rPr>
                <w:noProof/>
                <w:webHidden/>
              </w:rPr>
              <w:fldChar w:fldCharType="begin"/>
            </w:r>
            <w:r w:rsidR="00637D61">
              <w:rPr>
                <w:noProof/>
                <w:webHidden/>
              </w:rPr>
              <w:instrText xml:space="preserve"> PAGEREF _Toc132365732 \h </w:instrText>
            </w:r>
            <w:r w:rsidR="00637D61">
              <w:rPr>
                <w:noProof/>
                <w:webHidden/>
              </w:rPr>
            </w:r>
            <w:r w:rsidR="00637D61">
              <w:rPr>
                <w:noProof/>
                <w:webHidden/>
              </w:rPr>
              <w:fldChar w:fldCharType="separate"/>
            </w:r>
            <w:r w:rsidR="0003528E">
              <w:rPr>
                <w:noProof/>
                <w:webHidden/>
              </w:rPr>
              <w:t>9</w:t>
            </w:r>
            <w:r w:rsidR="00637D61">
              <w:rPr>
                <w:noProof/>
                <w:webHidden/>
              </w:rPr>
              <w:fldChar w:fldCharType="end"/>
            </w:r>
          </w:hyperlink>
        </w:p>
        <w:p w14:paraId="74A463BF" w14:textId="4AF793B8" w:rsidR="00637D61" w:rsidRDefault="00000000">
          <w:pPr>
            <w:pStyle w:val="TOC2"/>
            <w:rPr>
              <w:rFonts w:eastAsiaTheme="minorEastAsia" w:cstheme="minorBidi"/>
              <w:b w:val="0"/>
              <w:bCs w:val="0"/>
              <w:noProof/>
              <w:sz w:val="24"/>
              <w:szCs w:val="24"/>
            </w:rPr>
          </w:pPr>
          <w:hyperlink w:anchor="_Toc132365733" w:history="1">
            <w:r w:rsidR="00637D61" w:rsidRPr="000C00A9">
              <w:rPr>
                <w:rStyle w:val="Hyperlink"/>
                <w:noProof/>
                <w:lang w:val="en-GB"/>
              </w:rPr>
              <w:t>Paper2: System Comparison for Gait and Balance Monitoring Used for the Evaluation of a Home-Based Training</w:t>
            </w:r>
            <w:r w:rsidR="00637D61">
              <w:rPr>
                <w:noProof/>
                <w:webHidden/>
              </w:rPr>
              <w:tab/>
            </w:r>
            <w:r w:rsidR="00637D61">
              <w:rPr>
                <w:noProof/>
                <w:webHidden/>
              </w:rPr>
              <w:fldChar w:fldCharType="begin"/>
            </w:r>
            <w:r w:rsidR="00637D61">
              <w:rPr>
                <w:noProof/>
                <w:webHidden/>
              </w:rPr>
              <w:instrText xml:space="preserve"> PAGEREF _Toc132365733 \h </w:instrText>
            </w:r>
            <w:r w:rsidR="00637D61">
              <w:rPr>
                <w:noProof/>
                <w:webHidden/>
              </w:rPr>
            </w:r>
            <w:r w:rsidR="00637D61">
              <w:rPr>
                <w:noProof/>
                <w:webHidden/>
              </w:rPr>
              <w:fldChar w:fldCharType="separate"/>
            </w:r>
            <w:r w:rsidR="0003528E">
              <w:rPr>
                <w:noProof/>
                <w:webHidden/>
              </w:rPr>
              <w:t>10</w:t>
            </w:r>
            <w:r w:rsidR="00637D61">
              <w:rPr>
                <w:noProof/>
                <w:webHidden/>
              </w:rPr>
              <w:fldChar w:fldCharType="end"/>
            </w:r>
          </w:hyperlink>
        </w:p>
        <w:p w14:paraId="6193825B" w14:textId="4A040F88" w:rsidR="00637D61" w:rsidRDefault="00000000">
          <w:pPr>
            <w:pStyle w:val="TOC2"/>
            <w:rPr>
              <w:rFonts w:eastAsiaTheme="minorEastAsia" w:cstheme="minorBidi"/>
              <w:b w:val="0"/>
              <w:bCs w:val="0"/>
              <w:noProof/>
              <w:sz w:val="24"/>
              <w:szCs w:val="24"/>
            </w:rPr>
          </w:pPr>
          <w:hyperlink w:anchor="_Toc132365734" w:history="1">
            <w:r w:rsidR="00637D61" w:rsidRPr="000C00A9">
              <w:rPr>
                <w:rStyle w:val="Hyperlink"/>
                <w:noProof/>
                <w:lang w:val="en-GB"/>
              </w:rPr>
              <w:t>Paper3: Exploring Test-Retest Reliability and Longitudinal Stability of Digital Biomarkers for Parkinson's Disease in the m-Power Data Set: Cohort Study</w:t>
            </w:r>
            <w:r w:rsidR="00637D61">
              <w:rPr>
                <w:noProof/>
                <w:webHidden/>
              </w:rPr>
              <w:tab/>
            </w:r>
            <w:r w:rsidR="00637D61">
              <w:rPr>
                <w:noProof/>
                <w:webHidden/>
              </w:rPr>
              <w:fldChar w:fldCharType="begin"/>
            </w:r>
            <w:r w:rsidR="00637D61">
              <w:rPr>
                <w:noProof/>
                <w:webHidden/>
              </w:rPr>
              <w:instrText xml:space="preserve"> PAGEREF _Toc132365734 \h </w:instrText>
            </w:r>
            <w:r w:rsidR="00637D61">
              <w:rPr>
                <w:noProof/>
                <w:webHidden/>
              </w:rPr>
            </w:r>
            <w:r w:rsidR="00637D61">
              <w:rPr>
                <w:noProof/>
                <w:webHidden/>
              </w:rPr>
              <w:fldChar w:fldCharType="separate"/>
            </w:r>
            <w:r w:rsidR="0003528E">
              <w:rPr>
                <w:noProof/>
                <w:webHidden/>
              </w:rPr>
              <w:t>11</w:t>
            </w:r>
            <w:r w:rsidR="00637D61">
              <w:rPr>
                <w:noProof/>
                <w:webHidden/>
              </w:rPr>
              <w:fldChar w:fldCharType="end"/>
            </w:r>
          </w:hyperlink>
        </w:p>
        <w:p w14:paraId="72FCD384" w14:textId="30A3AA47" w:rsidR="00637D61" w:rsidRDefault="00000000">
          <w:pPr>
            <w:pStyle w:val="TOC2"/>
            <w:rPr>
              <w:rFonts w:eastAsiaTheme="minorEastAsia" w:cstheme="minorBidi"/>
              <w:b w:val="0"/>
              <w:bCs w:val="0"/>
              <w:noProof/>
              <w:sz w:val="24"/>
              <w:szCs w:val="24"/>
            </w:rPr>
          </w:pPr>
          <w:hyperlink w:anchor="_Toc132365735" w:history="1">
            <w:r w:rsidR="00637D61" w:rsidRPr="000C00A9">
              <w:rPr>
                <w:rStyle w:val="Hyperlink"/>
                <w:noProof/>
                <w:lang w:val="en-GB"/>
              </w:rPr>
              <w:t>Paper4: Smartphone-Based Digital Biomarkers for Parkinson's Disease in a Remotely Administered Setting</w:t>
            </w:r>
            <w:r w:rsidR="00637D61">
              <w:rPr>
                <w:noProof/>
                <w:webHidden/>
              </w:rPr>
              <w:tab/>
            </w:r>
            <w:r w:rsidR="00637D61">
              <w:rPr>
                <w:noProof/>
                <w:webHidden/>
              </w:rPr>
              <w:fldChar w:fldCharType="begin"/>
            </w:r>
            <w:r w:rsidR="00637D61">
              <w:rPr>
                <w:noProof/>
                <w:webHidden/>
              </w:rPr>
              <w:instrText xml:space="preserve"> PAGEREF _Toc132365735 \h </w:instrText>
            </w:r>
            <w:r w:rsidR="00637D61">
              <w:rPr>
                <w:noProof/>
                <w:webHidden/>
              </w:rPr>
            </w:r>
            <w:r w:rsidR="00637D61">
              <w:rPr>
                <w:noProof/>
                <w:webHidden/>
              </w:rPr>
              <w:fldChar w:fldCharType="separate"/>
            </w:r>
            <w:r w:rsidR="0003528E">
              <w:rPr>
                <w:noProof/>
                <w:webHidden/>
              </w:rPr>
              <w:t>12</w:t>
            </w:r>
            <w:r w:rsidR="00637D61">
              <w:rPr>
                <w:noProof/>
                <w:webHidden/>
              </w:rPr>
              <w:fldChar w:fldCharType="end"/>
            </w:r>
          </w:hyperlink>
        </w:p>
        <w:p w14:paraId="684B75D2" w14:textId="488BEF0D" w:rsidR="00637D61" w:rsidRDefault="00000000">
          <w:pPr>
            <w:pStyle w:val="TOC2"/>
            <w:rPr>
              <w:rFonts w:eastAsiaTheme="minorEastAsia" w:cstheme="minorBidi"/>
              <w:b w:val="0"/>
              <w:bCs w:val="0"/>
              <w:noProof/>
              <w:sz w:val="24"/>
              <w:szCs w:val="24"/>
            </w:rPr>
          </w:pPr>
          <w:hyperlink w:anchor="_Toc132365736" w:history="1">
            <w:r w:rsidR="00637D61" w:rsidRPr="000C00A9">
              <w:rPr>
                <w:rStyle w:val="Hyperlink"/>
                <w:noProof/>
                <w:lang w:val="en-GB"/>
              </w:rPr>
              <w:t>General Discussion</w:t>
            </w:r>
            <w:r w:rsidR="00637D61">
              <w:rPr>
                <w:noProof/>
                <w:webHidden/>
              </w:rPr>
              <w:tab/>
            </w:r>
            <w:r w:rsidR="00637D61">
              <w:rPr>
                <w:noProof/>
                <w:webHidden/>
              </w:rPr>
              <w:fldChar w:fldCharType="begin"/>
            </w:r>
            <w:r w:rsidR="00637D61">
              <w:rPr>
                <w:noProof/>
                <w:webHidden/>
              </w:rPr>
              <w:instrText xml:space="preserve"> PAGEREF _Toc132365736 \h </w:instrText>
            </w:r>
            <w:r w:rsidR="00637D61">
              <w:rPr>
                <w:noProof/>
                <w:webHidden/>
              </w:rPr>
            </w:r>
            <w:r w:rsidR="00637D61">
              <w:rPr>
                <w:noProof/>
                <w:webHidden/>
              </w:rPr>
              <w:fldChar w:fldCharType="separate"/>
            </w:r>
            <w:r w:rsidR="0003528E">
              <w:rPr>
                <w:noProof/>
                <w:webHidden/>
              </w:rPr>
              <w:t>13</w:t>
            </w:r>
            <w:r w:rsidR="00637D61">
              <w:rPr>
                <w:noProof/>
                <w:webHidden/>
              </w:rPr>
              <w:fldChar w:fldCharType="end"/>
            </w:r>
          </w:hyperlink>
        </w:p>
        <w:p w14:paraId="31F3F7B2" w14:textId="394FBB26" w:rsidR="00637D61" w:rsidRDefault="00000000">
          <w:pPr>
            <w:pStyle w:val="TOC2"/>
            <w:rPr>
              <w:rFonts w:eastAsiaTheme="minorEastAsia" w:cstheme="minorBidi"/>
              <w:b w:val="0"/>
              <w:bCs w:val="0"/>
              <w:noProof/>
              <w:sz w:val="24"/>
              <w:szCs w:val="24"/>
            </w:rPr>
          </w:pPr>
          <w:hyperlink w:anchor="_Toc132365737" w:history="1">
            <w:r w:rsidR="00637D61" w:rsidRPr="000C00A9">
              <w:rPr>
                <w:rStyle w:val="Hyperlink"/>
                <w:noProof/>
                <w:lang w:val="en-GB"/>
              </w:rPr>
              <w:t>Conclusion and future direction</w:t>
            </w:r>
            <w:r w:rsidR="00637D61">
              <w:rPr>
                <w:noProof/>
                <w:webHidden/>
              </w:rPr>
              <w:tab/>
            </w:r>
            <w:r w:rsidR="00637D61">
              <w:rPr>
                <w:noProof/>
                <w:webHidden/>
              </w:rPr>
              <w:fldChar w:fldCharType="begin"/>
            </w:r>
            <w:r w:rsidR="00637D61">
              <w:rPr>
                <w:noProof/>
                <w:webHidden/>
              </w:rPr>
              <w:instrText xml:space="preserve"> PAGEREF _Toc132365737 \h </w:instrText>
            </w:r>
            <w:r w:rsidR="00637D61">
              <w:rPr>
                <w:noProof/>
                <w:webHidden/>
              </w:rPr>
            </w:r>
            <w:r w:rsidR="00637D61">
              <w:rPr>
                <w:noProof/>
                <w:webHidden/>
              </w:rPr>
              <w:fldChar w:fldCharType="separate"/>
            </w:r>
            <w:r w:rsidR="0003528E">
              <w:rPr>
                <w:noProof/>
                <w:webHidden/>
              </w:rPr>
              <w:t>16</w:t>
            </w:r>
            <w:r w:rsidR="00637D61">
              <w:rPr>
                <w:noProof/>
                <w:webHidden/>
              </w:rPr>
              <w:fldChar w:fldCharType="end"/>
            </w:r>
          </w:hyperlink>
        </w:p>
        <w:p w14:paraId="77722B8C" w14:textId="10445F1D" w:rsidR="00637D61" w:rsidRDefault="00000000">
          <w:pPr>
            <w:pStyle w:val="TOC2"/>
            <w:rPr>
              <w:rFonts w:eastAsiaTheme="minorEastAsia" w:cstheme="minorBidi"/>
              <w:b w:val="0"/>
              <w:bCs w:val="0"/>
              <w:noProof/>
              <w:sz w:val="24"/>
              <w:szCs w:val="24"/>
            </w:rPr>
          </w:pPr>
          <w:hyperlink w:anchor="_Toc132365738" w:history="1">
            <w:r w:rsidR="00637D61" w:rsidRPr="000C00A9">
              <w:rPr>
                <w:rStyle w:val="Hyperlink"/>
                <w:noProof/>
                <w:lang w:val="en-GB"/>
              </w:rPr>
              <w:t>Reference</w:t>
            </w:r>
            <w:r w:rsidR="00637D61">
              <w:rPr>
                <w:noProof/>
                <w:webHidden/>
              </w:rPr>
              <w:tab/>
            </w:r>
            <w:r w:rsidR="00637D61">
              <w:rPr>
                <w:noProof/>
                <w:webHidden/>
              </w:rPr>
              <w:fldChar w:fldCharType="begin"/>
            </w:r>
            <w:r w:rsidR="00637D61">
              <w:rPr>
                <w:noProof/>
                <w:webHidden/>
              </w:rPr>
              <w:instrText xml:space="preserve"> PAGEREF _Toc132365738 \h </w:instrText>
            </w:r>
            <w:r w:rsidR="00637D61">
              <w:rPr>
                <w:noProof/>
                <w:webHidden/>
              </w:rPr>
            </w:r>
            <w:r w:rsidR="00637D61">
              <w:rPr>
                <w:noProof/>
                <w:webHidden/>
              </w:rPr>
              <w:fldChar w:fldCharType="separate"/>
            </w:r>
            <w:r w:rsidR="0003528E">
              <w:rPr>
                <w:noProof/>
                <w:webHidden/>
              </w:rPr>
              <w:t>18</w:t>
            </w:r>
            <w:r w:rsidR="00637D61">
              <w:rPr>
                <w:noProof/>
                <w:webHidden/>
              </w:rPr>
              <w:fldChar w:fldCharType="end"/>
            </w:r>
          </w:hyperlink>
        </w:p>
        <w:p w14:paraId="71FD896D" w14:textId="199DDDEC" w:rsidR="00637D61" w:rsidRDefault="00000000">
          <w:pPr>
            <w:pStyle w:val="TOC2"/>
            <w:rPr>
              <w:rFonts w:eastAsiaTheme="minorEastAsia" w:cstheme="minorBidi"/>
              <w:b w:val="0"/>
              <w:bCs w:val="0"/>
              <w:noProof/>
              <w:sz w:val="24"/>
              <w:szCs w:val="24"/>
            </w:rPr>
          </w:pPr>
          <w:hyperlink w:anchor="_Toc132365739" w:history="1">
            <w:r w:rsidR="00637D61" w:rsidRPr="000C00A9">
              <w:rPr>
                <w:rStyle w:val="Hyperlink"/>
                <w:noProof/>
                <w:lang w:val="en-GB"/>
              </w:rPr>
              <w:t>Acknowledgement</w:t>
            </w:r>
          </w:hyperlink>
        </w:p>
        <w:p w14:paraId="4B76DCCA" w14:textId="4EF8FD3F" w:rsidR="001133B5" w:rsidRPr="001177AF" w:rsidRDefault="001133B5">
          <w:pPr>
            <w:rPr>
              <w:lang w:val="en-GB"/>
            </w:rPr>
          </w:pPr>
          <w:r w:rsidRPr="001177AF">
            <w:rPr>
              <w:b/>
              <w:bCs/>
              <w:noProof/>
              <w:lang w:val="en-GB"/>
            </w:rPr>
            <w:fldChar w:fldCharType="end"/>
          </w:r>
        </w:p>
      </w:sdtContent>
    </w:sdt>
    <w:p w14:paraId="4F5A3BF8" w14:textId="53BB813F" w:rsidR="002920C7" w:rsidRPr="001177AF" w:rsidRDefault="002920C7" w:rsidP="002920C7">
      <w:pPr>
        <w:spacing w:before="400" w:after="120"/>
        <w:jc w:val="both"/>
        <w:outlineLvl w:val="0"/>
        <w:rPr>
          <w:color w:val="000000"/>
          <w:kern w:val="36"/>
          <w:sz w:val="40"/>
          <w:szCs w:val="40"/>
          <w:lang w:val="en-GB"/>
        </w:rPr>
      </w:pPr>
    </w:p>
    <w:p w14:paraId="22E667F8" w14:textId="2842BB60" w:rsidR="00EA6306" w:rsidRPr="001177AF" w:rsidRDefault="00EA6306" w:rsidP="00D37F78">
      <w:pPr>
        <w:spacing w:line="360" w:lineRule="auto"/>
        <w:jc w:val="both"/>
        <w:rPr>
          <w:b/>
          <w:bCs/>
          <w:sz w:val="36"/>
          <w:szCs w:val="36"/>
          <w:lang w:val="en-GB"/>
        </w:rPr>
        <w:sectPr w:rsidR="00EA6306" w:rsidRPr="001177AF" w:rsidSect="00637D61">
          <w:footerReference w:type="default" r:id="rId10"/>
          <w:pgSz w:w="11906" w:h="16838"/>
          <w:pgMar w:top="1418" w:right="1418" w:bottom="1418" w:left="1985" w:header="709" w:footer="709" w:gutter="0"/>
          <w:pgNumType w:fmt="upperRoman" w:start="1"/>
          <w:cols w:space="708"/>
          <w:docGrid w:linePitch="360"/>
        </w:sectPr>
      </w:pPr>
    </w:p>
    <w:p w14:paraId="58B127DF" w14:textId="20DC7BCB" w:rsidR="00A132D5" w:rsidRPr="001177AF" w:rsidRDefault="009247E2" w:rsidP="006A6868">
      <w:pPr>
        <w:pStyle w:val="Heading2"/>
        <w:rPr>
          <w:lang w:val="en-GB"/>
        </w:rPr>
      </w:pPr>
      <w:bookmarkStart w:id="28" w:name="_Toc132365729"/>
      <w:r w:rsidRPr="001177AF">
        <w:rPr>
          <w:lang w:val="en-GB"/>
        </w:rPr>
        <w:lastRenderedPageBreak/>
        <w:t>Introduction</w:t>
      </w:r>
      <w:bookmarkEnd w:id="28"/>
    </w:p>
    <w:p w14:paraId="583853BE" w14:textId="1477F9AD" w:rsidR="00A132D5" w:rsidRPr="001177AF" w:rsidRDefault="00A132D5" w:rsidP="00A132D5">
      <w:pPr>
        <w:spacing w:line="360" w:lineRule="auto"/>
        <w:jc w:val="both"/>
        <w:rPr>
          <w:color w:val="000000"/>
          <w:lang w:val="en-GB"/>
        </w:rPr>
      </w:pPr>
      <w:r w:rsidRPr="001177AF">
        <w:rPr>
          <w:color w:val="000000"/>
          <w:lang w:val="en-GB"/>
        </w:rPr>
        <w:t>The challenges</w:t>
      </w:r>
      <w:r w:rsidR="00EB6313" w:rsidRPr="001177AF">
        <w:rPr>
          <w:color w:val="000000"/>
          <w:lang w:val="en-GB"/>
        </w:rPr>
        <w:t xml:space="preserve"> (</w:t>
      </w:r>
      <w:r w:rsidR="002B78C3" w:rsidRPr="001177AF">
        <w:rPr>
          <w:color w:val="000000"/>
          <w:lang w:val="en-GB"/>
        </w:rPr>
        <w:t>e.g</w:t>
      </w:r>
      <w:r w:rsidR="00EB6313" w:rsidRPr="001177AF">
        <w:rPr>
          <w:color w:val="000000"/>
          <w:lang w:val="en-GB"/>
        </w:rPr>
        <w:t xml:space="preserve">., time constrain, accessibility, cost, limited availability, and in-frequent visits) </w:t>
      </w:r>
      <w:r w:rsidRPr="001177AF">
        <w:rPr>
          <w:color w:val="000000"/>
          <w:lang w:val="en-GB"/>
        </w:rPr>
        <w:t>associated with</w:t>
      </w:r>
      <w:r w:rsidR="00495578" w:rsidRPr="001177AF">
        <w:rPr>
          <w:color w:val="000000"/>
          <w:lang w:val="en-GB"/>
        </w:rPr>
        <w:t xml:space="preserve"> current</w:t>
      </w:r>
      <w:r w:rsidRPr="001177AF">
        <w:rPr>
          <w:color w:val="000000"/>
          <w:lang w:val="en-GB"/>
        </w:rPr>
        <w:t xml:space="preserve"> in-clinic visit assessment methods</w:t>
      </w:r>
      <w:r w:rsidR="00323054" w:rsidRPr="001177AF">
        <w:rPr>
          <w:color w:val="000000"/>
          <w:lang w:val="en-GB"/>
        </w:rPr>
        <w:t xml:space="preserve"> have</w:t>
      </w:r>
      <w:r w:rsidRPr="001177AF">
        <w:rPr>
          <w:color w:val="000000"/>
          <w:lang w:val="en-GB"/>
        </w:rPr>
        <w:t xml:space="preserve"> motivated the development of novel disease assessment techniques using sensor-embedded smart devices. Various sensors have recently been incorporated into wearables and smartphones. This rich combination of built-in sensors, processing power, wireless connection capability, and </w:t>
      </w:r>
      <w:r w:rsidR="005D54DC" w:rsidRPr="001177AF">
        <w:rPr>
          <w:color w:val="000000"/>
          <w:lang w:val="en-GB"/>
        </w:rPr>
        <w:t>customisable</w:t>
      </w:r>
      <w:r w:rsidRPr="001177AF">
        <w:rPr>
          <w:color w:val="000000"/>
          <w:lang w:val="en-GB"/>
        </w:rPr>
        <w:t xml:space="preserve"> applications opens the door to </w:t>
      </w:r>
      <w:r w:rsidR="003E2EE2" w:rsidRPr="001177AF">
        <w:rPr>
          <w:color w:val="000000"/>
          <w:lang w:val="en-GB"/>
        </w:rPr>
        <w:t xml:space="preserve">collecting </w:t>
      </w:r>
      <w:r w:rsidRPr="001177AF">
        <w:rPr>
          <w:color w:val="000000"/>
          <w:lang w:val="en-GB"/>
        </w:rPr>
        <w:t xml:space="preserve">objective and quantifiable health-related data. The data acquired via smart devices in clinical studies are referred to as digital biomarkers (DBs) </w:t>
      </w:r>
      <w:r w:rsidRPr="001177AF">
        <w:rPr>
          <w:color w:val="000000"/>
          <w:lang w:val="en-GB"/>
        </w:rPr>
        <w:fldChar w:fldCharType="begin"/>
      </w:r>
      <w:r w:rsidR="00726C10" w:rsidRPr="001177AF">
        <w:rPr>
          <w:color w:val="000000"/>
          <w:lang w:val="en-GB"/>
        </w:rPr>
        <w:instrText>ADDIN F1000_CSL_CITATION&lt;~#@#~&gt;[{"DOI":"10.1001/jama.2017.11295","First":false,"Last":false,"PMID":"28973224","author":[{"family":"Insel","given":"Thomas R"}],"authorYearDisplayFormat":false,"citation-label":"6149218","container-title":"The Journal of the American Medical Association","container-title-short":"JAMA","id":"6149218","invisible":false,"issue":"13","issued":{"date-parts":[["2017","10","3"]]},"journalAbbreviation":"JAMA","page":"1215-1216","suppress-author":false,"title":"Digital phenotyping: technology for a new science of behavior.","type":"article-journal","volume":"318"},{"DOI":"10.1002/mds.27376","First":false,"Last":false,"PMCID":"PMC6175318","PMID":"29701258","abstract":"&lt;strong&gt;BACKGROUND:&lt;/strong&gt; Ubiquitous digital technologies such as smartphone sensors promise to fundamentally change biomedical research and treatment monitoring in neurological diseases such as PD, creating a new domain of digital biomarkers.&lt;br&gt;&lt;br&gt;&lt;strong&gt;OBJECTIVES:&lt;/strong&gt; The present study assessed the feasibility, reliability, and validity of smartphone-based digital biomarkers of PD in a clinical trial setting.&lt;br&gt;&lt;br&gt;&lt;strong&gt;METHODS:&lt;/strong&gt; During a 6-month, phase 1b clinical trial with 44 Parkinson participants, and an independent, 45-day study in 35 age-matched healthy controls, participants completed six daily motor active tests (sustained phonation, rest tremor, postural tremor, finger-tapping, balance, and gait), then carried the smartphone during the day (passive monitoring), enabling assessment of, for example, time spent walking and sit-to-stand transitions by gyroscopic and accelerometer data.&lt;br&gt;&lt;br&gt;&lt;strong&gt;RESULTS:&lt;/strong&gt; Adherence was acceptable: Patients completed active testing on average 3.5 of 7 times/week. Sensor-based features showed moderate-to-excellent test-retest reliability (average intraclass correlation coefficient = 0.84). All active and passive features significantly differentiated PD from controls with P &lt;  0.005. All active test features except sustained phonation were significantly related to corresponding International Parkinson and Movement Disorder Society-Sponsored UPRDS clinical severity ratings. On passive monitoring, time spent walking had a significant (P = 0.005) relationship with average postural instability and gait disturbance scores. Of note, for all smartphone active and passive features except postural tremor, the monitoring procedure detected abnormalities even in those Parkinson participants scored as having no signs in the corresponding International Parkinson and Movement Disorder Society-Sponsored UPRDS items at the site visit.&lt;br&gt;&lt;br&gt;&lt;strong&gt;CONCLUSIONS:&lt;/strong&gt; These findings demonstrate the feasibility of smartphone-based digital biomarkers and indicate that smartphone-sensor technologies provide reliable, valid, clinically meaningful, and highly sensitive phenotypic data in Parkinson's disease. © 2018 The Authors. Movement Disorders published by Wiley Periodicals, Inc. on behalf of International Parkinson and Movement Disorder Society.&lt;br&gt;&lt;br&gt;© 2018 The Authors. Movement Disorders published by Wiley Periodicals, Inc. on behalf of International Parkinson and Movement Disorder Society.","author":[{"family":"Lipsmeier","given":"Florian"},{"family":"Taylor","given":"Kirsten I"},{"family":"Kilchenmann","given":"Timothy"},{"family":"Wolf","given":"Detlef"},{"family":"Scotland","given":"Alf"},{"family":"Schjodt-Eriksen","given":"Jens"},{"family":"Cheng","given":"Wei-Yi"},{"family":"Fernandez-Garcia","given":"Ignacio"},{"family":"Siebourg-Polster","given":"Juliane"},{"family":"Jin","given":"Liping"},{"family":"Soto","given":"Jay"},{"family":"Verselis","given":"Lynne"},{"family":"Boess","given":"Frank"},{"family":"Koller","given":"Martin"},{"family":"Grundman","given":"Michael"},{"family":"Monsch","given":"Andreas U"},{"family":"Postuma","given":"Ronald B"},{"family":"Ghosh","given":"Anirvan"},{"family":"Kremer","given":"Thomas"},{"family":"Czech","given":"Christian"},{"family":"Gossens","given":"Christian"},{"family":"Lindemann","given":"Michael"}],"authorYearDisplayFormat":false,"citation-label":"5186601","container-title":"Movement Disorders","container-title-short":"Mov. Disord.","id":"5186601","invisible":false,"issue":"8","issued":{"date-parts":[["2018","8"]]},"journalAbbreviation":"Mov. Disord.","page":"1287-1297","suppress-author":false,"title":"Evaluation of smartphone-based testing to generate exploratory outcome measures in a phase 1 Parkinson's disease clinical trial.","type":"article-journal","volume":"33"},{"DOI":"10.1038/s41746-019-0090-4","First":false,"Last":false,"PMCID":"PMC6411051","PMID":"30868107","abstract":"Biomarkers are physiologic, pathologic, or anatomic characteristics that are objectively measured and evaluated as an indicator of normal biologic processes, pathologic processes, or biological responses to therapeutic interventions. Recent advances in the development of mobile digitally connected technologies have led to the emergence of a new class of biomarkers measured across multiple layers of hardware and software. Quantified in ones and zeros, these \"digital\" biomarkers can support continuous measurements outside the physical confines of the clinical environment. The modular software-hardware combination of these products has created new opportunities for patient care and biomedical research, enabling remote monitoring and decentralized clinical trial designs. However, a systematic approach to assessing the quality and utility of digital biomarkers to ensure an appropriate balance between their safety and effectiveness is needed. This paper outlines key considerations for the development and evaluation of digital biomarkers, examining their role in clinical research and routine patient care.","author":[{"family":"Coravos","given":"Andrea"},{"family":"Khozin","given":"Sean"},{"family":"Mandl","given":"Kenneth D"}],"authorYearDisplayFormat":false,"citation-label":"6646205","container-title":"npj Digital Medicine","container-title-short":"npj Digital Med.","id":"6646205","invisible":false,"issue":"1","issued":{"date-parts":[["2019","3","11"]]},"journalAbbreviation":"npj Digital Med.","suppress-author":false,"title":"Developing and adopting safe and effective digital biomarkers to improve patient outcomes.","type":"article-journal","volume":"2"}]</w:instrText>
      </w:r>
      <w:r w:rsidRPr="001177AF">
        <w:rPr>
          <w:color w:val="000000"/>
          <w:lang w:val="en-GB"/>
        </w:rPr>
        <w:fldChar w:fldCharType="separate"/>
      </w:r>
      <w:r w:rsidR="00726C10" w:rsidRPr="001177AF">
        <w:rPr>
          <w:noProof/>
          <w:color w:val="000000"/>
          <w:lang w:val="en-GB"/>
        </w:rPr>
        <w:t>(1–3)</w:t>
      </w:r>
      <w:r w:rsidRPr="001177AF">
        <w:rPr>
          <w:color w:val="000000"/>
          <w:lang w:val="en-GB"/>
        </w:rPr>
        <w:fldChar w:fldCharType="end"/>
      </w:r>
      <w:r w:rsidRPr="001177AF">
        <w:rPr>
          <w:color w:val="000000"/>
          <w:lang w:val="en-GB"/>
        </w:rPr>
        <w:t>. DBs can provide cost-effective, objective, and ecologically valid health-related data. Furthermore, real-time longitudinal data collection from a larger population allows a better understanding of disease evolution and variation between individuals.</w:t>
      </w:r>
    </w:p>
    <w:p w14:paraId="59268441" w14:textId="77777777" w:rsidR="005311A6" w:rsidRPr="001177AF" w:rsidRDefault="00A132D5" w:rsidP="00CC3409">
      <w:pPr>
        <w:spacing w:line="360" w:lineRule="auto"/>
        <w:jc w:val="both"/>
        <w:rPr>
          <w:lang w:val="en-GB" w:eastAsia="en-US"/>
        </w:rPr>
      </w:pPr>
      <w:r w:rsidRPr="001177AF">
        <w:rPr>
          <w:color w:val="000000"/>
          <w:lang w:val="en-GB"/>
        </w:rPr>
        <w:t>In clinical trials, two major deployment models for DBs can be outlined. The first</w:t>
      </w:r>
      <w:r w:rsidR="003E2EE2" w:rsidRPr="001177AF">
        <w:rPr>
          <w:color w:val="000000"/>
          <w:lang w:val="en-GB"/>
        </w:rPr>
        <w:t xml:space="preserve">, </w:t>
      </w:r>
      <w:r w:rsidRPr="001177AF">
        <w:rPr>
          <w:color w:val="000000"/>
          <w:lang w:val="en-GB"/>
        </w:rPr>
        <w:t xml:space="preserve">consists of samples obtained in a controlled environment, for example, a clinical or movement laboratory, using devices designed for this particular purpose </w:t>
      </w:r>
      <w:r w:rsidRPr="001177AF">
        <w:rPr>
          <w:rFonts w:eastAsiaTheme="majorEastAsia"/>
          <w:color w:val="000000"/>
          <w:lang w:val="en-GB" w:eastAsia="en-US"/>
        </w:rPr>
        <w:fldChar w:fldCharType="begin"/>
      </w:r>
      <w:r w:rsidR="00726C10" w:rsidRPr="001177AF">
        <w:rPr>
          <w:color w:val="000000"/>
          <w:lang w:val="en-GB"/>
        </w:rPr>
        <w:instrText>ADDIN F1000_CSL_CITATION&lt;~#@#~&gt;[{"DOI":"10.1109/TITB.2009.2033471","First":false,"Last":false,"PMCID":"PMC5432434","PMID":"19846382","abstract":"This paper presents the results of a pilot study to assess the feasibility of using accelerometer data to estimate the severity of symptoms and motor complications in patients with Parkinson's disease. A support vector machine (SVM) classifier was implemented to estimate the severity of tremor, bradykinesia and dyskinesia from accelerometer data features. SVM-based estimates were compared with clinical scores derived via visual inspection of video recordings taken while patients performed a series of standardized motor tasks. The analysis of the video recordings was performed by clinicians trained in the use of scales for the assessment of the severity of Parkinsonian symptoms and motor complications. Results derived from the accelerometer time series were analyzed to assess the effect on the estimation of clinical scores of the duration of the window utilized to derive segments (to eventually compute data features) from the accelerometer data, the use of different SVM kernels and misclassification cost values, and the use of data features derived from different motor tasks. Results were also analyzed to assess which combinations of data features carried enough information to reliably assess the severity of symptoms and motor complications. Combinations of data features were compared taking into consideration the computational cost associated with estimating each data feature on the nodes of a body sensor network and the effect of using such data features on the reliability of SVM-based estimates of the severity of Parkinsonian symptoms and motor complications.","author":[{"family":"Patel","given":"Shyamal"},{"family":"Lorincz","given":"Konrad"},{"family":"Hughes","given":"Richard"},{"family":"Huggins","given":"Nancy"},{"family":"Growdon","given":"John"},{"family":"Standaert","given":"David"},{"family":"Akay","given":"Metin"},{"family":"Dy","given":"Jennifer"},{"family":"Welsh","given":"Matt"},{"family":"Bonato","given":"Paolo"}],"authorYearDisplayFormat":false,"citation-label":"7943333","container-title":"IEEE transactions on information technology in biomedicine : a publication of the IEEE Engineering in Medicine and Biology Society","container-title-short":"IEEE Trans. Inf. Technol. Biomed.","id":"7943333","invisible":false,"issue":"6","issued":{"date-parts":[["2009","11"]]},"journalAbbreviation":"IEEE Trans. Inf. Technol. Biomed.","page":"864-873","suppress-author":false,"title":"Monitoring motor fluctuations in patients with Parkinson's disease using wearable sensors.","type":"article-journal","volume":"13"},{"DOI":"10.1109/TNSRE.2013.2265887","First":false,"Last":false,"PMCID":"PMC4107930","PMID":"23751971","abstract":"Gait accelerometry is a promising tool to assess human walking and reveal deteriorating gait characteristics in patients and can be a rich source of clinically relevant information about functional declines in older adults. Therefore, in this paper, we present a comprehensive set of signal features that may be used to extract clinically valuable information from gait accelerometry signals. To achieve our goal, we collected tri-axial gait accelerometry signals from 35 adults 65 years of age and older. Fourteen subjects were healthy controls, 10 participants were diagnosed with Parkinson's disease, and 11 participants were diagnosed with peripheral neuropathy. The data were collected while the participants walked on a treadmill at a preferred walking speed. Accelerometer signal features in time, frequency and time-frequency domains were extracted. The results of our analysis showed that some of the extracted features were able to differentiate between healthy and clinical populations. Signal features in all three domains were able to emphasize variability among different groups, and also revealed valuable information about variability of the signals between anterior-posterior, mediolateral, and vertical directions within subjects. The current results imply that the proposed signal features can be valuable tools for the analysis of gait accelerometry data and should be utilized in future studies.","author":[{"family":"Sejdić","given":"Ervin"},{"family":"Lowry","given":"Kristin A"},{"family":"Bellanca","given":"Jennica"},{"family":"Redfern","given":"Mark S"},{"family":"Brach","given":"Jennifer S"}],"authorYearDisplayFormat":false,"citation-label":"5373581","container-title":"IEEE Transactions on Neural Systems and Rehabilitation Engineering","container-title-short":"IEEE Trans. Neural Syst. Rehabil. Eng.","id":"5373581","invisible":false,"issue":"3","issued":{"date-parts":[["2014","5"]]},"journalAbbreviation":"IEEE Trans. Neural Syst. Rehabil. Eng.","page":"603-612","suppress-author":false,"title":"A comprehensive assessment of gait accelerometry signals in time, frequency and time-frequency domains.","type":"article-journal","volume":"22"}]</w:instrText>
      </w:r>
      <w:r w:rsidRPr="001177AF">
        <w:rPr>
          <w:rFonts w:eastAsiaTheme="majorEastAsia"/>
          <w:color w:val="000000"/>
          <w:lang w:val="en-GB" w:eastAsia="en-US"/>
        </w:rPr>
        <w:fldChar w:fldCharType="separate"/>
      </w:r>
      <w:r w:rsidR="00726C10" w:rsidRPr="001177AF">
        <w:rPr>
          <w:noProof/>
          <w:color w:val="000000"/>
          <w:lang w:val="en-GB"/>
        </w:rPr>
        <w:t>(4,5)</w:t>
      </w:r>
      <w:r w:rsidRPr="001177AF">
        <w:rPr>
          <w:rFonts w:eastAsiaTheme="majorEastAsia"/>
          <w:color w:val="000000"/>
          <w:lang w:val="en-GB" w:eastAsia="en-US"/>
        </w:rPr>
        <w:fldChar w:fldCharType="end"/>
      </w:r>
      <w:r w:rsidRPr="001177AF">
        <w:rPr>
          <w:color w:val="000000"/>
          <w:lang w:val="en-GB"/>
        </w:rPr>
        <w:t xml:space="preserve">. The second approach brings together commercially accessible hardware (such as smartphones and smartwatches) with custom applications to be used in loosely controlled and self-administrated in-home settings </w:t>
      </w:r>
      <w:r w:rsidRPr="001177AF">
        <w:rPr>
          <w:rFonts w:eastAsiaTheme="majorEastAsia"/>
          <w:color w:val="000000"/>
          <w:lang w:val="en-GB" w:eastAsia="en-US"/>
        </w:rPr>
        <w:fldChar w:fldCharType="begin"/>
      </w:r>
      <w:r w:rsidR="00726C10" w:rsidRPr="001177AF">
        <w:rPr>
          <w:color w:val="000000"/>
          <w:lang w:val="en-GB"/>
        </w:rPr>
        <w:instrText>ADDIN F1000_CSL_CITATION&lt;~#@#~&gt;[{"DOI":"10.1038/s41587-021-00974-9","First":false,"Last":false,"PMID":"34373643","abstract":"Remote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First":false,"Last":false,"author":[{"family":"Zhan","given":"Andong"}],"authorYearDisplayFormat":false,"citation-label":"9176208","container-title":"CoRR","id":"9176208","invisible":false,"issued":{"date-parts":[["2016"]]},"suppress-author":false,"title":"High Frequency Remote Monitoring of Parkinson's Disease via Smartphone: Platform Overview and Medication Response Detection","type":"article-journal"},{"DOI":"10.1088/1361-6579/aab512","First":false,"Last":false,"PMID":"29516871","abstract":"&lt;strong&gt;OBJECTIVE:&lt;/strong&gt; To better understand the longitudinal characteristics of Parkinson's disease (PD) through the analysis of finger tapping and memory tests collected remotely using smartphones.&lt;br&gt;&lt;br&gt;&lt;strong&gt;APPROACH:&lt;/strong&gt; Using a large cohort (312 PD subjects and 236 controls) of participants in the mPower study, we extract clinically validated features from a finger tapping and memory test to monitor the longitudinal behaviour of study participants. We investigate any discrepancy in learning rates associated with motor and non-motor tasks between PD subjects and healthy controls. The ability of these features to predict self-assigned severity measures is assessed whilst simultaneously inspecting the severity scoring system for floor-ceiling effects. Finally, we study the relationship between motor and non-motor longitudinal behaviour to determine if separate aspects of the disease are dependent on one another.&lt;br&gt;&lt;br&gt;&lt;strong&gt;MAIN RESULTS:&lt;/strong&gt; We find that the test performances of the most severe subjects show significant correlations with self-assigned severity measures. Interestingly, less severe subjects do not show significant correlations, which is shown to be a consequence of floor-ceiling effects within the mPower self-reporting severity system. We find that motor performance after practise is a better predictor of severity than baseline performance suggesting that starting performance at a new motor task is less representative of disease severity than the performance after the test has been learnt. We find PD subjects show significant impairments in motor ability as assessed through the alternating finger tapping (AFT) test in both the short- and long-term analyses. In the AFT and memory tests we demonstrate that PD subjects show a larger degree of longitudinal performance variability in addition to requiring more instances of a test to reach a steady state performance than healthy subjects.&lt;br&gt;&lt;br&gt;&lt;strong&gt;SIGNIFICANCE:&lt;/strong&gt; Our findings pave the way forward for objective assessment and quantification of longitudinal learning rates in PD. This can be particularly useful for symptom monitoring and assessing medication response. This study tries to tackle some of the major challenges associated with self-assessed severity labels by designing and validating features extracted from big datasets in PD, which could help identify digital biomarkers capable of providing measures of disease severity outside of a clinical environment.","author":[{"family":"Prince","given":"John"},{"family":"Arora","given":"Siddharth"},{"family":"de Vos","given":"Maarten"}],"authorYearDisplayFormat":false,"citation-label":"5577022","container-title":"Physiological Measurement","container-title-short":"Physiol. Meas.","id":"5577022","invisible":false,"issue":"4","issued":{"date-parts":[["2018","4","26"]]},"journalAbbreviation":"Physiol. Meas.","page":"044005","suppress-author":false,"title":"Big data in Parkinson's disease: using smartphones to remotely detect longitudinal disease phenotypes.","type":"article-journal","volume":"39"}]</w:instrText>
      </w:r>
      <w:r w:rsidRPr="001177AF">
        <w:rPr>
          <w:rFonts w:eastAsiaTheme="majorEastAsia"/>
          <w:color w:val="000000"/>
          <w:lang w:val="en-GB" w:eastAsia="en-US"/>
        </w:rPr>
        <w:fldChar w:fldCharType="separate"/>
      </w:r>
      <w:r w:rsidR="00726C10" w:rsidRPr="001177AF">
        <w:rPr>
          <w:noProof/>
          <w:color w:val="000000"/>
          <w:lang w:val="en-GB"/>
        </w:rPr>
        <w:t>(6–8)</w:t>
      </w:r>
      <w:r w:rsidRPr="001177AF">
        <w:rPr>
          <w:rFonts w:eastAsiaTheme="majorEastAsia"/>
          <w:color w:val="000000"/>
          <w:lang w:val="en-GB" w:eastAsia="en-US"/>
        </w:rPr>
        <w:fldChar w:fldCharType="end"/>
      </w:r>
      <w:r w:rsidRPr="001177AF">
        <w:rPr>
          <w:color w:val="000000"/>
          <w:lang w:val="en-GB"/>
        </w:rPr>
        <w:t xml:space="preserve">. The main benefit of the second approach is the capacity </w:t>
      </w:r>
      <w:r w:rsidR="003C41D3" w:rsidRPr="001177AF">
        <w:rPr>
          <w:color w:val="000000"/>
          <w:lang w:val="en-GB"/>
        </w:rPr>
        <w:t>to monitor patients in (near) real-time remotely</w:t>
      </w:r>
      <w:r w:rsidRPr="001177AF">
        <w:rPr>
          <w:color w:val="000000"/>
          <w:lang w:val="en-GB"/>
        </w:rPr>
        <w:t xml:space="preserve"> and for extended periods of time, such as months and years. Additionally, smartphones are </w:t>
      </w:r>
      <w:r w:rsidR="003C41D3" w:rsidRPr="001177AF">
        <w:rPr>
          <w:color w:val="000000"/>
          <w:lang w:val="en-GB"/>
        </w:rPr>
        <w:t>practical</w:t>
      </w:r>
      <w:r w:rsidRPr="001177AF">
        <w:rPr>
          <w:color w:val="000000"/>
          <w:lang w:val="en-GB"/>
        </w:rPr>
        <w:t xml:space="preserve"> tools for crowdsourcing due to their widespread use.</w:t>
      </w:r>
      <w:r w:rsidR="000E0D0A" w:rsidRPr="001177AF">
        <w:rPr>
          <w:color w:val="000000"/>
          <w:lang w:val="en-GB"/>
        </w:rPr>
        <w:t xml:space="preserve"> </w:t>
      </w:r>
      <w:r w:rsidR="00042491" w:rsidRPr="001177AF">
        <w:rPr>
          <w:lang w:val="en-GB" w:eastAsia="en-US"/>
        </w:rPr>
        <w:t xml:space="preserve">Although there are already many platforms designed </w:t>
      </w:r>
      <w:r w:rsidR="000E0D0A" w:rsidRPr="001177AF">
        <w:rPr>
          <w:lang w:val="en-GB" w:eastAsia="en-US"/>
        </w:rPr>
        <w:t>for at-home disease monitoring</w:t>
      </w:r>
      <w:r w:rsidR="00042491" w:rsidRPr="001177AF">
        <w:rPr>
          <w:lang w:val="en-GB" w:eastAsia="en-US"/>
        </w:rPr>
        <w:t xml:space="preserve"> </w:t>
      </w:r>
      <w:r w:rsidR="00042491" w:rsidRPr="001177AF">
        <w:rPr>
          <w:lang w:val="en-GB"/>
        </w:rPr>
        <w:fldChar w:fldCharType="begin"/>
      </w:r>
      <w:r w:rsidR="00726C10" w:rsidRPr="001177AF">
        <w:rPr>
          <w:lang w:val="en-GB"/>
        </w:rPr>
        <w:instrText>ADDIN F1000_CSL_CITATION&lt;~#@#~&gt;[{"DOI":"10.1145/3131672.3131694","First":false,"Last":false,"PMCID":"PMC6168216","PMID":"30288504","abstract":"The development and validation studies of new multisensory biomarkers and sensor-triggered interventions requires collecting raw sensor data with associated labels in the natural field environment. Unlike platforms for traditional mHealth apps, a software platform for such studies needs to not only support high-rate data ingestion, but also share raw high-rate sensor data with researchers, while supporting high-rate sense-analyze-act functionality in real-time. We present mCerebrum, a realization of such a platform, which supports high-rate data collections from multiple sensors with realtime assessment of data quality. A scalable storage architecture (with near optimal performance) ensures quick response despite rapidly growing data volume. Micro-batching and efficient sharing of data among multiple source and sink apps allows reuse of computations to enable real-time computation of multiple biomarkers without saturating the CPU or memory. Finally, it has a reconfigurable scheduler which manages all prompts to participants that is burden- and context-aware. With a modular design currently spanning 23+ apps, mCerebrum provides a comprehensive ecosystem of system services and utility apps. The design of mCerebrum has evolved during its concurrent use in scientific field studies at ten sites spanning 106,806 person days. Evaluations show that compared with other platforms, mCerebrum's architecture and design choices support 1.5 times higher data rates and 4.3 times higher storage throughput, while causing 8.4 times lower CPU usage.&lt;br&gt;&lt;br&gt;&lt;strong&gt;CCS Concepts:&lt;/strong&gt; • Human-centered computing → Ubiquitous and mobile computing; Ubiquitous and mobile computing systems and tools; • Computer systems organization → Embedded and cyber-physical systems.&lt;br&gt;&lt;br&gt;&lt;strong&gt;ACM Reference format:&lt;/strong&gt; Syed Monowar Hossain, Timothy Hnat, Nazir Saleheen, Nusrat Jahan Nasrin, Joseph Noor, Bo-Jhang Ho, Tyson Condie, Mani Srivastava, and Santosh Kumar. 2017. mCerebrum: A Mobile Sensing Software Platform for Development and Validation of Digital Biomarkers and Interventions. In Proceedings of SenSys '17, Delft, Netherlands, November 6-8, 2017, 14 pages.","author":[{"family":"Hossain","given":"Syed Monowar"},{"family":"Hnat","given":"Timothy"},{"family":"Saleheen","given":"Nazir"},{"family":"Nasrin","given":"Nusrat Jahan"},{"family":"Noor","given":"Joseph"},{"family":"Ho","given":"Bo-Jhang"},{"family":"Condie","given":"Tyson"},{"family":"Srivastava","given":"Mani"},{"family":"Kumar","given":"Santosh"}],"authorYearDisplayFormat":false,"citation-label":"6328491","container-title":"Proceedings of the ... International Conference on Embedded Networked Sensor Systems. International Conference on Embedded Networked Sensor Systems","container-title-short":"Proc. Int. Conf. Embed. Netw. Sens. Syst.","id":"6328491","invisible":false,"issued":{"date-parts":[["2017","11"]]},"journalAbbreviation":"Proc. Int. Conf. Embed. Netw. Sens. Syst.","suppress-author":false,"title":"mCerebrum: A Mobile Sensing Software Platform for Development and Validation of Digital Biomarkers and Interventions.","type":"article-journal","volume":"2017"},{"DOI":"10.2196/preprints.11734","First":false,"Last":false,"author":[{"family":"Ranjan","given":"Yatharth"},{"family":"Rashid","given":"Zulqarnain"},{"family":"Stewart","given":"Callum"},{"family":"Kerz","given":"Maximilian"},{"family":"Begale","given":"Mark"},{"family":"Verbeeck","given":"Denny"},{"family":"Boettcher","given":"Sebastian"},{"family":"Dobson","given":"Richard"},{"family":"Folarin","given":"Amos"},{"family":"The Hyve"},{"family":"RADAR-CNS Consortium"}],"authorYearDisplayFormat":false,"citation-label":"9065200","id":"9065200","invisible":false,"issued":{"date-parts":[["2018","8","29"]]},"suppress-author":false,"title":"RADAR-base: An Open Source mHealth Platform for Collecting, Monitoring and Analyzing data Using Sensors, Wearables, and Mobile Devices (Preprint)","type":"article-journal"},{"DOI":"10.3389/fict.2015.00006","First":false,"Last":false,"abstract":"We present a mobile instrumentation toolkit, AWARE, an open-source effort to develop an extensible and reusable platform for capturing, inferring, and generating context on mobile devices. Mobile phones are sensor-rich but resource-constrained, and therefore several considerations need to be addressed when creating a research tool that ensures problem-free context collection. We demonstrate how AWARE can mitigate researchers’ effort when building mobile data-logging tools and context-aware applications, with minimal battery impact. By encapsulating implementation details of sensor data retrieval and exposing the sensed context as higher-level abstractions, AWARE shifts the focus from software development to data analysis, both quantitative and qualitative. We have evaluated AWARE in several case studies and discuss its use, power consumption, and scalability.","author":[{"family":"Ferreira","given":"Denzil"},{"family":"Kostakos","given":"Vassilis"},{"family":"Dey","given":"Anind K."}],"authorYearDisplayFormat":false,"citation-label":"5293060","container-title":"Frontiers in ICT","container-title-short":"Front. ICT","id":"5293060","invisible":false,"issue":"6","issued":{"date-parts":[["2015","4","20"]]},"journalAbbreviation":"Front. ICT","page":"1-9","suppress-author":false,"title":"AWARE: mobile context instrumentation framework","type":"article-journal","volume":"2"},{"DOI":"10.2196/mental.5165","First":false,"Last":false,"PMCID":"PMC4873624","PMID":"27150677","abstract":"&lt;strong&gt;BACKGROUND:&lt;/strong&gt; A longstanding barrier to progress in psychiatry, both in clinical settings and research trials, has been the persistent difficulty of accurately and reliably quantifying disease phenotypes. Mobile phone technology combined with data science has the potential to offer medicine a wealth of additional information on disease phenotypes, but the large majority of existing smartphone apps are not intended for use as biomedical research platforms and, as such, do not generate research-quality data.&lt;br&gt;&lt;br&gt;&lt;strong&gt;OBJECTIVE:&lt;/strong&gt; Our aim is not the creation of yet another app per se but rather the establishment of a platform to collect research-quality smartphone raw sensor and usage pattern data. Our ultimate goal is to develop statistical, mathematical, and computational methodology to enable us and others to extract biomedical and clinical insights from smartphone data.&lt;br&gt;&lt;br&gt;&lt;strong&gt;METHODS:&lt;/strong&gt; We report on the development and early testing of Beiwe, a research platform featuring a study portal, smartphone app, database, and data modeling and analysis tools designed and developed specifically for transparent, customizable, and reproducible biomedical research use, in particular for the study of psychiatric and neurological disorders. We also outline a proposed study using the platform for patients with schizophrenia.&lt;br&gt;&lt;br&gt;&lt;strong&gt;RESULTS:&lt;/strong&gt; We demonstrate the passive data capabilities of the Beiwe platform and early results of its analytical capabilities.&lt;br&gt;&lt;br&gt;&lt;strong&gt;CONCLUSIONS:&lt;/strong&gt; Smartphone sensors and phone usage patterns, when coupled with appropriate statistical learning tools, are able to capture various social and behavioral manifestations of illnesses, in naturalistic settings, as lived and experienced by patients. The ubiquity of smartphones makes this type of moment-by-moment quantification of disease phenotypes highly scalable and, when integrated within a transparent research platform, presents tremendous opportunities for research, discovery, and patient health.","author":[{"family":"Torous","given":"John"},{"family":"Kiang","given":"Mathew V"},{"family":"Lorme","given":"Jeanette"},{"family":"Onnela","given":"Jukka-Pekka"}],"authorYearDisplayFormat":false,"citation-label":"5441759","container-title":"JMIR mental health","container-title-short":"JMIR Ment Health","id":"5441759","invisible":false,"issue":"2","issued":{"date-parts":[["2016","5","5"]]},"journalAbbreviation":"JMIR Ment Health","page":"e16","suppress-author":false,"title":"New tools for new research in psychiatry: A scalable and customizable platform to empower data driven smartphone research.","type":"article-journal","volume":"3"},{"DOI":"10.2196/23984","First":false,"Last":false,"PMCID":"PMC8074871","PMID":"33720028","abstract":"The collection of data from a personal digital device to characterize current health conditions and behaviors that determine how an individual's health will evolve has been called digital phenotyping. In this paper, we describe the development of and early experiences with a comprehensive digital phenotyping platform: Health Outcomes through Positive Engagement and Self-Empowerment (HOPES). HOPES is based on the open-source Beiwe platform but adds a wider range of data collection, including the integration of wearable devices and further sensor collection from smartphones. Requirements were partly derived from a concurrent clinical trial for schizophrenia that required the development of significant capabilities in HOPES for security, privacy, ease of use, and scalability, based on a careful combination of public cloud and on-premises operation. We describe new data pipelines to clean, process, present, and analyze data. This includes a set of dashboards customized to the needs of research study operations and clinical care. A test use case for HOPES was described by analyzing the digital behavior of 22 participants during the SARS-CoV-2 pandemic.&lt;br&gt;&lt;br&gt;©Xuancong Wang, Nikola Vouk, Creighton Heaukulani, Thisum Buddhika, Wijaya Martanto, Jimmy Lee, Robert JT Morris. Originally published in the Journal of Medical Internet Research (http://www.jmir.org), 15.03.2021.","author":[{"family":"Wang","given":"Xuancong"},{"family":"Vouk","given":"Nikola"},{"family":"Heaukulani","given":"Creighton"},{"family":"Buddhika","given":"Thisum"},{"family":"Martanto","given":"Wijaya"},{"family":"Lee","given":"Jimmy"},{"family":"Morris","given":"Robert Jt"}],"authorYearDisplayFormat":false,"citation-label":"11554776","container-title":"Journal of Medical Internet Research","container-title-short":"J. Med. Internet Res.","id":"11554776","invisible":false,"issue":"3","issued":{"date-parts":[["2021","3","15"]]},"journalAbbreviation":"J. Med. Internet Res.","page":"e23984","suppress-author":false,"title":"HOPES: an integrative digital phenotyping platform for data collection, monitoring, and machine learning.","type":"article-journal","volume":"23"}]</w:instrText>
      </w:r>
      <w:r w:rsidR="00042491" w:rsidRPr="001177AF">
        <w:rPr>
          <w:lang w:val="en-GB"/>
        </w:rPr>
        <w:fldChar w:fldCharType="separate"/>
      </w:r>
      <w:r w:rsidR="00726C10" w:rsidRPr="001177AF">
        <w:rPr>
          <w:noProof/>
          <w:lang w:val="en-GB"/>
        </w:rPr>
        <w:t>(9–13)</w:t>
      </w:r>
      <w:r w:rsidR="00042491" w:rsidRPr="001177AF">
        <w:rPr>
          <w:lang w:val="en-GB"/>
        </w:rPr>
        <w:fldChar w:fldCharType="end"/>
      </w:r>
      <w:r w:rsidR="00042491" w:rsidRPr="001177AF">
        <w:rPr>
          <w:lang w:val="en-GB"/>
        </w:rPr>
        <w:t xml:space="preserve">, </w:t>
      </w:r>
      <w:r w:rsidR="00042491" w:rsidRPr="001177AF">
        <w:rPr>
          <w:lang w:val="en-GB" w:eastAsia="en-US"/>
        </w:rPr>
        <w:t xml:space="preserve">the majority of </w:t>
      </w:r>
      <w:r w:rsidR="000E0D0A" w:rsidRPr="001177AF">
        <w:rPr>
          <w:lang w:val="en-GB" w:eastAsia="en-US"/>
        </w:rPr>
        <w:t xml:space="preserve">them </w:t>
      </w:r>
      <w:r w:rsidR="00042491" w:rsidRPr="001177AF">
        <w:rPr>
          <w:lang w:val="en-GB" w:eastAsia="en-US"/>
        </w:rPr>
        <w:t xml:space="preserve">have several shortcomings, including a lack of memory and energy </w:t>
      </w:r>
      <w:r w:rsidR="005D54DC" w:rsidRPr="001177AF">
        <w:rPr>
          <w:lang w:val="en-GB" w:eastAsia="en-US"/>
        </w:rPr>
        <w:t>optimisation</w:t>
      </w:r>
      <w:r w:rsidR="00042491" w:rsidRPr="001177AF">
        <w:rPr>
          <w:lang w:val="en-GB" w:eastAsia="en-US"/>
        </w:rPr>
        <w:t>, an easy-to-use user interface, security</w:t>
      </w:r>
      <w:r w:rsidR="000414C5" w:rsidRPr="001177AF">
        <w:rPr>
          <w:lang w:val="en-GB" w:eastAsia="en-US"/>
        </w:rPr>
        <w:t>,</w:t>
      </w:r>
      <w:r w:rsidR="00042491" w:rsidRPr="001177AF">
        <w:rPr>
          <w:lang w:val="en-GB" w:eastAsia="en-US"/>
        </w:rPr>
        <w:t xml:space="preserve"> and privacy, and a lack of availability in official app</w:t>
      </w:r>
      <w:r w:rsidR="005C6B30" w:rsidRPr="001177AF">
        <w:rPr>
          <w:lang w:val="en-GB" w:eastAsia="en-US"/>
        </w:rPr>
        <w:t>lication</w:t>
      </w:r>
      <w:r w:rsidR="00042491" w:rsidRPr="001177AF">
        <w:rPr>
          <w:lang w:val="en-GB" w:eastAsia="en-US"/>
        </w:rPr>
        <w:t xml:space="preserve"> </w:t>
      </w:r>
      <w:r w:rsidR="00CE14AA" w:rsidRPr="001177AF">
        <w:rPr>
          <w:lang w:val="en-GB" w:eastAsia="en-US"/>
        </w:rPr>
        <w:t xml:space="preserve">distribution </w:t>
      </w:r>
      <w:r w:rsidR="00042491" w:rsidRPr="001177AF">
        <w:rPr>
          <w:lang w:val="en-GB" w:eastAsia="en-US"/>
        </w:rPr>
        <w:t>stores. One of the main challenges posed by the</w:t>
      </w:r>
      <w:r w:rsidR="00E81396" w:rsidRPr="001177AF">
        <w:rPr>
          <w:lang w:val="en-GB" w:eastAsia="en-US"/>
        </w:rPr>
        <w:t xml:space="preserve">se platforms </w:t>
      </w:r>
      <w:r w:rsidR="00042491" w:rsidRPr="001177AF">
        <w:rPr>
          <w:lang w:val="en-GB" w:eastAsia="en-US"/>
        </w:rPr>
        <w:t>is maintaining the confidentiality of the collected</w:t>
      </w:r>
      <w:r w:rsidR="000E0D0A" w:rsidRPr="001177AF">
        <w:rPr>
          <w:lang w:val="en-GB" w:eastAsia="en-US"/>
        </w:rPr>
        <w:t xml:space="preserve"> data</w:t>
      </w:r>
      <w:r w:rsidR="00042491" w:rsidRPr="001177AF">
        <w:rPr>
          <w:lang w:val="en-GB" w:eastAsia="en-US"/>
        </w:rPr>
        <w:t xml:space="preserve"> </w:t>
      </w:r>
      <w:r w:rsidR="00042491" w:rsidRPr="001177AF">
        <w:rPr>
          <w:lang w:val="en-GB" w:eastAsia="en-US"/>
        </w:rPr>
        <w:fldChar w:fldCharType="begin"/>
      </w:r>
      <w:r w:rsidR="00726C10" w:rsidRPr="001177AF">
        <w:rPr>
          <w:lang w:val="en-GB" w:eastAsia="en-US"/>
        </w:rPr>
        <w:instrText>ADDIN F1000_CSL_CITATION&lt;~#@#~&gt;[{"DOI":"10.3389/fnbeh.2021.758274","First":false,"Last":false,"PMCID":"PMC8885444","PMID":"35242017","abstract":"In drug discovery and development, traditional assessment of human patients and preclinical subjects occurs at limited time points in potentially stressful surroundings (i.e., the clinic or a test arena), which can impact data quality and welfare. However, recent advances in remote digital monitoring technologies enable the assessment of human patients and preclinical subjects across multiple time points in familiar surroundings. The ability to monitor a patient throughout disease progression provides an opportunity for more relevant and efficient diagnosis as well as improved assessment of drug efficacy and safety. In preclinical in vivo animal models, these digital technologies allow for continuous, longitudinal, and non-invasive monitoring in the home environment. This manuscript provides an overview of digital monitoring technologies for use in preclinical studies including their history and evolution, current engagement through use cases, and impact of digital biomarkers (DBs) on drug discovery and the 3Rs. We also discuss barriers to implementation and strategies to overcome them. Finally, we address data consistency and technology standards from the perspective of technology providers, end-users, and subject matter experts. Overall, this review establishes an improved understanding of the value and implementation of digital biomarker (DB) technologies in preclinical research.&lt;br&gt;&lt;br&gt;Copyright © 2022 Baran, Bratcher, Dennis, Gaburro, Karlsson, Maguire, Makidon, Noldus, Potier, Rosati, Ruiter, Schaevitz, Sweeney and LaFollette.","author":[{"family":"Baran","given":"Szczepan W"},{"family":"Bratcher","given":"Natalie"},{"family":"Dennis","given":"John"},{"family":"Gaburro","given":"Stefano"},{"family":"Karlsson","given":"Eleanor M"},{"family":"Maguire","given":"Sean"},{"family":"Makidon","given":"Paul"},{"family":"Noldus","given":"Lucas P J J"},{"family":"Potier","given":"Yohann"},{"family":"Rosati","given":"Giorgio"},{"family":"Ruiter","given":"Matt"},{"family":"Schaevitz","given":"Laura"},{"family":"Sweeney","given":"Patrick"},{"family":"LaFollette","given":"Megan R"}],"authorYearDisplayFormat":false,"citation-label":"12509164","container-title":"Frontiers in Behavioral Neuroscience","container-title-short":"Front. Behav. Neurosci.","id":"12509164","invisible":false,"issued":{"date-parts":[["2021"]]},"journalAbbreviation":"Front. Behav. Neurosci.","page":"758274","suppress-author":false,"title":"Emerging role of translational digital biomarkers within home cage monitoring technologies in preclinical drug discovery and development.","type":"article-journal","volume":"15"}]</w:instrText>
      </w:r>
      <w:r w:rsidR="00042491" w:rsidRPr="001177AF">
        <w:rPr>
          <w:lang w:val="en-GB" w:eastAsia="en-US"/>
        </w:rPr>
        <w:fldChar w:fldCharType="separate"/>
      </w:r>
      <w:r w:rsidR="00726C10" w:rsidRPr="001177AF">
        <w:rPr>
          <w:noProof/>
          <w:lang w:val="en-GB" w:eastAsia="en-US"/>
        </w:rPr>
        <w:t>(14)</w:t>
      </w:r>
      <w:r w:rsidR="005311A6" w:rsidRPr="001177AF">
        <w:rPr>
          <w:noProof/>
          <w:lang w:val="en-GB" w:eastAsia="en-US"/>
        </w:rPr>
        <w:t>,</w:t>
      </w:r>
      <w:r w:rsidR="00042491" w:rsidRPr="001177AF">
        <w:rPr>
          <w:lang w:val="en-GB" w:eastAsia="en-US"/>
        </w:rPr>
        <w:fldChar w:fldCharType="end"/>
      </w:r>
      <w:r w:rsidR="000E0D0A" w:rsidRPr="001177AF">
        <w:rPr>
          <w:lang w:val="en-GB" w:eastAsia="en-US"/>
        </w:rPr>
        <w:t xml:space="preserve"> which is </w:t>
      </w:r>
      <w:r w:rsidR="00042491" w:rsidRPr="001177AF">
        <w:rPr>
          <w:lang w:val="en-GB" w:eastAsia="en-US"/>
        </w:rPr>
        <w:t>consistently target</w:t>
      </w:r>
      <w:r w:rsidR="000E0D0A" w:rsidRPr="001177AF">
        <w:rPr>
          <w:lang w:val="en-GB" w:eastAsia="en-US"/>
        </w:rPr>
        <w:t>ed</w:t>
      </w:r>
      <w:r w:rsidR="003E2EE2" w:rsidRPr="001177AF">
        <w:rPr>
          <w:lang w:val="en-GB" w:eastAsia="en-US"/>
        </w:rPr>
        <w:t xml:space="preserve"> </w:t>
      </w:r>
      <w:r w:rsidR="000E0D0A" w:rsidRPr="001177AF">
        <w:rPr>
          <w:lang w:val="en-GB" w:eastAsia="en-US"/>
        </w:rPr>
        <w:t xml:space="preserve">in </w:t>
      </w:r>
      <w:r w:rsidR="00042491" w:rsidRPr="001177AF">
        <w:rPr>
          <w:lang w:val="en-GB" w:eastAsia="en-US"/>
        </w:rPr>
        <w:t xml:space="preserve">cyberattacks. Therefore, it is strongly recommended that no identifying information be collected (or use proper </w:t>
      </w:r>
      <w:r w:rsidR="005D54DC" w:rsidRPr="001177AF">
        <w:rPr>
          <w:lang w:val="en-GB" w:eastAsia="en-US"/>
        </w:rPr>
        <w:t>anonymising</w:t>
      </w:r>
      <w:r w:rsidR="00042491" w:rsidRPr="001177AF">
        <w:rPr>
          <w:lang w:val="en-GB" w:eastAsia="en-US"/>
        </w:rPr>
        <w:t xml:space="preserve"> and encryption methods) in the first place. </w:t>
      </w:r>
      <w:r w:rsidR="000E0D0A" w:rsidRPr="001177AF">
        <w:rPr>
          <w:lang w:val="en-GB" w:eastAsia="en-US"/>
        </w:rPr>
        <w:t>Another</w:t>
      </w:r>
      <w:r w:rsidR="00042491" w:rsidRPr="001177AF">
        <w:rPr>
          <w:lang w:val="en-GB" w:eastAsia="en-US"/>
        </w:rPr>
        <w:t xml:space="preserve"> challenge is the</w:t>
      </w:r>
      <w:r w:rsidR="000E0D0A" w:rsidRPr="001177AF">
        <w:rPr>
          <w:lang w:val="en-GB" w:eastAsia="en-US"/>
        </w:rPr>
        <w:t xml:space="preserve"> large</w:t>
      </w:r>
      <w:r w:rsidR="00042491" w:rsidRPr="001177AF">
        <w:rPr>
          <w:lang w:val="en-GB" w:eastAsia="en-US"/>
        </w:rPr>
        <w:t xml:space="preserve"> amount of data generated, which requires the creation of </w:t>
      </w:r>
      <w:r w:rsidR="007306D2" w:rsidRPr="001177AF">
        <w:rPr>
          <w:lang w:val="en-GB" w:eastAsia="en-US"/>
        </w:rPr>
        <w:t xml:space="preserve">efficient </w:t>
      </w:r>
      <w:r w:rsidR="00042491" w:rsidRPr="001177AF">
        <w:rPr>
          <w:lang w:val="en-GB" w:eastAsia="en-US"/>
        </w:rPr>
        <w:t xml:space="preserve">data storage and streaming methods, not only at the device level but also at the storage endpoint. Smartphones </w:t>
      </w:r>
      <w:r w:rsidR="007306D2" w:rsidRPr="001177AF">
        <w:rPr>
          <w:lang w:val="en-GB" w:eastAsia="en-US"/>
        </w:rPr>
        <w:t>often</w:t>
      </w:r>
      <w:r w:rsidR="00042491" w:rsidRPr="001177AF">
        <w:rPr>
          <w:lang w:val="en-GB" w:eastAsia="en-US"/>
        </w:rPr>
        <w:t xml:space="preserve"> have limited internal storage capacity and access to low-</w:t>
      </w:r>
      <w:r w:rsidR="00042491" w:rsidRPr="001177AF">
        <w:rPr>
          <w:lang w:val="en-GB" w:eastAsia="en-US"/>
        </w:rPr>
        <w:lastRenderedPageBreak/>
        <w:t>cost (free) connectivity</w:t>
      </w:r>
      <w:r w:rsidR="007306D2" w:rsidRPr="001177AF">
        <w:rPr>
          <w:lang w:val="en-GB" w:eastAsia="en-US"/>
        </w:rPr>
        <w:t>, so it is important to have</w:t>
      </w:r>
      <w:r w:rsidR="00042491" w:rsidRPr="001177AF">
        <w:rPr>
          <w:lang w:val="en-GB" w:eastAsia="en-US"/>
        </w:rPr>
        <w:t xml:space="preserve"> automatic </w:t>
      </w:r>
      <w:r w:rsidR="005D54DC" w:rsidRPr="001177AF">
        <w:rPr>
          <w:lang w:val="en-GB" w:eastAsia="en-US"/>
        </w:rPr>
        <w:t>synchronisation</w:t>
      </w:r>
      <w:r w:rsidR="00042491" w:rsidRPr="001177AF">
        <w:rPr>
          <w:lang w:val="en-GB" w:eastAsia="en-US"/>
        </w:rPr>
        <w:t xml:space="preserve"> strategies to </w:t>
      </w:r>
      <w:r w:rsidR="005D54DC" w:rsidRPr="001177AF">
        <w:rPr>
          <w:lang w:val="en-GB" w:eastAsia="en-US"/>
        </w:rPr>
        <w:t>maximise</w:t>
      </w:r>
      <w:r w:rsidR="00042491" w:rsidRPr="001177AF">
        <w:rPr>
          <w:lang w:val="en-GB" w:eastAsia="en-US"/>
        </w:rPr>
        <w:t xml:space="preserve"> </w:t>
      </w:r>
      <w:r w:rsidR="003C41D3" w:rsidRPr="001177AF">
        <w:rPr>
          <w:lang w:val="en-GB" w:eastAsia="en-US"/>
        </w:rPr>
        <w:t>memory usage efficiency</w:t>
      </w:r>
      <w:r w:rsidR="00042491" w:rsidRPr="001177AF">
        <w:rPr>
          <w:lang w:val="en-GB" w:eastAsia="en-US"/>
        </w:rPr>
        <w:t>.</w:t>
      </w:r>
    </w:p>
    <w:p w14:paraId="0B348C98" w14:textId="5D77D4AB" w:rsidR="008A5422" w:rsidRPr="001177AF" w:rsidRDefault="007306D2" w:rsidP="00CC3409">
      <w:pPr>
        <w:spacing w:line="360" w:lineRule="auto"/>
        <w:jc w:val="both"/>
        <w:rPr>
          <w:color w:val="000000"/>
          <w:lang w:val="en-GB"/>
        </w:rPr>
      </w:pPr>
      <w:r w:rsidRPr="001177AF">
        <w:rPr>
          <w:lang w:val="en-GB" w:eastAsia="en-US"/>
        </w:rPr>
        <w:t>Additionally</w:t>
      </w:r>
      <w:r w:rsidR="00042491" w:rsidRPr="001177AF">
        <w:rPr>
          <w:lang w:val="en-GB" w:eastAsia="en-US"/>
        </w:rPr>
        <w:t xml:space="preserve">, the </w:t>
      </w:r>
      <w:r w:rsidR="00E17CA4" w:rsidRPr="001177AF">
        <w:rPr>
          <w:lang w:val="en-GB" w:eastAsia="en-US"/>
        </w:rPr>
        <w:t>flexib</w:t>
      </w:r>
      <w:r w:rsidR="003E2EE2" w:rsidRPr="001177AF">
        <w:rPr>
          <w:lang w:val="en-GB" w:eastAsia="en-US"/>
        </w:rPr>
        <w:t>le</w:t>
      </w:r>
      <w:r w:rsidR="00042491" w:rsidRPr="001177AF">
        <w:rPr>
          <w:lang w:val="en-GB" w:eastAsia="en-US"/>
        </w:rPr>
        <w:t xml:space="preserve"> and modular design of DBs platforms to accommodate a wide variety of sensor types is another key feature that should not be overlooked. </w:t>
      </w:r>
      <w:r w:rsidRPr="001177AF">
        <w:rPr>
          <w:lang w:val="en-GB" w:eastAsia="en-US"/>
        </w:rPr>
        <w:t>T</w:t>
      </w:r>
      <w:r w:rsidR="00042491" w:rsidRPr="001177AF">
        <w:rPr>
          <w:lang w:val="en-GB" w:eastAsia="en-US"/>
        </w:rPr>
        <w:t xml:space="preserve">hese platforms should </w:t>
      </w:r>
      <w:r w:rsidRPr="001177AF">
        <w:rPr>
          <w:lang w:val="en-GB" w:eastAsia="en-US"/>
        </w:rPr>
        <w:t>allow</w:t>
      </w:r>
      <w:r w:rsidR="00042491" w:rsidRPr="001177AF">
        <w:rPr>
          <w:lang w:val="en-GB" w:eastAsia="en-US"/>
        </w:rPr>
        <w:t xml:space="preserve"> researchers and clinicians to </w:t>
      </w:r>
      <w:r w:rsidRPr="001177AF">
        <w:rPr>
          <w:lang w:val="en-GB" w:eastAsia="en-US"/>
        </w:rPr>
        <w:t xml:space="preserve">easily </w:t>
      </w:r>
      <w:r w:rsidR="00042491" w:rsidRPr="001177AF">
        <w:rPr>
          <w:lang w:val="en-GB" w:eastAsia="en-US"/>
        </w:rPr>
        <w:t>add or remove different types of sensors (data sources).</w:t>
      </w:r>
      <w:r w:rsidR="008A5422" w:rsidRPr="001177AF">
        <w:rPr>
          <w:lang w:val="en-GB" w:eastAsia="en-US"/>
        </w:rPr>
        <w:t xml:space="preserve"> </w:t>
      </w:r>
      <w:r w:rsidRPr="001177AF">
        <w:rPr>
          <w:lang w:val="en-GB" w:eastAsia="en-US"/>
        </w:rPr>
        <w:t>However,</w:t>
      </w:r>
      <w:r w:rsidR="00CC3409" w:rsidRPr="001177AF">
        <w:rPr>
          <w:lang w:val="en-GB" w:eastAsia="en-US"/>
        </w:rPr>
        <w:t xml:space="preserve"> most of the existing platforms are designed to focus on a specific aspect of a disease</w:t>
      </w:r>
      <w:r w:rsidRPr="001177AF">
        <w:rPr>
          <w:lang w:val="en-GB" w:eastAsia="en-US"/>
        </w:rPr>
        <w:t xml:space="preserve">, </w:t>
      </w:r>
      <w:r w:rsidR="00CC3409" w:rsidRPr="001177AF">
        <w:rPr>
          <w:lang w:val="en-GB" w:eastAsia="en-US"/>
        </w:rPr>
        <w:t>which negatively affects the</w:t>
      </w:r>
      <w:r w:rsidR="003E2EE2" w:rsidRPr="001177AF">
        <w:rPr>
          <w:lang w:val="en-GB" w:eastAsia="en-US"/>
        </w:rPr>
        <w:t xml:space="preserve">ir </w:t>
      </w:r>
      <w:r w:rsidR="00CC3409" w:rsidRPr="001177AF">
        <w:rPr>
          <w:lang w:val="en-GB" w:eastAsia="en-US"/>
        </w:rPr>
        <w:t xml:space="preserve">reusability and flexibility. Nevertheless, there is a gap between the tools available and needed for this purpose, which motivated us to introduce our platform, </w:t>
      </w:r>
      <w:r w:rsidR="004E0CB0" w:rsidRPr="001177AF">
        <w:rPr>
          <w:lang w:val="en-GB" w:eastAsia="en-US"/>
        </w:rPr>
        <w:t>"</w:t>
      </w:r>
      <w:r w:rsidR="00CC3409" w:rsidRPr="001177AF">
        <w:rPr>
          <w:lang w:val="en-GB" w:eastAsia="en-US"/>
        </w:rPr>
        <w:t>JTrack</w:t>
      </w:r>
      <w:r w:rsidR="004E0CB0" w:rsidRPr="001177AF">
        <w:rPr>
          <w:lang w:val="en-GB" w:eastAsia="en-US"/>
        </w:rPr>
        <w:t>"</w:t>
      </w:r>
      <w:r w:rsidR="00CC3409" w:rsidRPr="001177AF">
        <w:rPr>
          <w:lang w:val="en-GB" w:eastAsia="en-US"/>
        </w:rPr>
        <w:t>.</w:t>
      </w:r>
    </w:p>
    <w:p w14:paraId="68451FCA" w14:textId="4951DC30" w:rsidR="00E93630" w:rsidRPr="001177AF" w:rsidRDefault="00E93630" w:rsidP="009E06E4">
      <w:pPr>
        <w:spacing w:line="360" w:lineRule="auto"/>
        <w:jc w:val="both"/>
        <w:rPr>
          <w:color w:val="000000"/>
          <w:lang w:val="en-GB"/>
        </w:rPr>
      </w:pPr>
      <w:r w:rsidRPr="001177AF">
        <w:rPr>
          <w:color w:val="000000"/>
          <w:lang w:val="en-GB"/>
        </w:rPr>
        <w:t>D</w:t>
      </w:r>
      <w:r w:rsidR="003E2EE2" w:rsidRPr="001177AF">
        <w:rPr>
          <w:color w:val="000000"/>
          <w:lang w:val="en-GB"/>
        </w:rPr>
        <w:t>Bs</w:t>
      </w:r>
      <w:r w:rsidRPr="001177AF">
        <w:rPr>
          <w:color w:val="000000"/>
          <w:lang w:val="en-GB"/>
        </w:rPr>
        <w:t xml:space="preserve"> have been used in </w:t>
      </w:r>
      <w:r w:rsidR="006A6868" w:rsidRPr="001177AF">
        <w:rPr>
          <w:color w:val="000000"/>
          <w:lang w:val="en-GB"/>
        </w:rPr>
        <w:t xml:space="preserve">the </w:t>
      </w:r>
      <w:r w:rsidRPr="001177AF">
        <w:rPr>
          <w:color w:val="000000"/>
          <w:lang w:val="en-GB"/>
        </w:rPr>
        <w:t xml:space="preserve">assessment of various diseases, from heart disease and diabetes to cancers and chronic pain. In particular, DBs have been extensively used to measure and monitor the progression of certain neurodegenerative disorders, such as </w:t>
      </w:r>
      <w:r w:rsidR="004E0CB0" w:rsidRPr="001177AF">
        <w:rPr>
          <w:color w:val="000000"/>
          <w:lang w:val="en-GB"/>
        </w:rPr>
        <w:t>Parkinson's</w:t>
      </w:r>
      <w:r w:rsidRPr="001177AF">
        <w:rPr>
          <w:color w:val="000000"/>
          <w:lang w:val="en-GB"/>
        </w:rPr>
        <w:t xml:space="preserve"> Disease (</w:t>
      </w:r>
      <w:r w:rsidRPr="001177AF">
        <w:rPr>
          <w:lang w:val="en-GB"/>
        </w:rPr>
        <w:t>PD)</w:t>
      </w:r>
      <w:r w:rsidR="003C41D3" w:rsidRPr="001177AF">
        <w:rPr>
          <w:lang w:val="en-GB"/>
        </w:rPr>
        <w:t>,</w:t>
      </w:r>
      <w:r w:rsidRPr="001177AF">
        <w:rPr>
          <w:lang w:val="en-GB"/>
        </w:rPr>
        <w:t xml:space="preserve"> one of the very well-suited neurodegenerative diseases for DBs studies </w:t>
      </w:r>
      <w:r w:rsidRPr="001177AF">
        <w:rPr>
          <w:lang w:val="en-GB"/>
        </w:rPr>
        <w:fldChar w:fldCharType="begin"/>
      </w:r>
      <w:r w:rsidR="00726C10" w:rsidRPr="001177AF">
        <w:rPr>
          <w:lang w:val="en-GB"/>
        </w:rPr>
        <w:instrText>ADDIN F1000_CSL_CITATION&lt;~#@#~&gt;[{"DOI":"10.1038/s41587-021-00974-9","First":false,"Last":false,"PMID":"34373643","abstract":"Remote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w:instrText>
      </w:r>
      <w:r w:rsidRPr="001177AF">
        <w:rPr>
          <w:lang w:val="en-GB"/>
        </w:rPr>
        <w:fldChar w:fldCharType="separate"/>
      </w:r>
      <w:r w:rsidR="00726C10" w:rsidRPr="001177AF">
        <w:rPr>
          <w:noProof/>
          <w:lang w:val="en-GB"/>
        </w:rPr>
        <w:t>(6)</w:t>
      </w:r>
      <w:r w:rsidRPr="001177AF">
        <w:rPr>
          <w:lang w:val="en-GB"/>
        </w:rPr>
        <w:fldChar w:fldCharType="end"/>
      </w:r>
      <w:r w:rsidR="00CC7E18" w:rsidRPr="001177AF">
        <w:rPr>
          <w:lang w:val="en-GB"/>
        </w:rPr>
        <w:t>.</w:t>
      </w:r>
      <w:r w:rsidRPr="001177AF">
        <w:rPr>
          <w:lang w:val="en-GB"/>
        </w:rPr>
        <w:t xml:space="preserve"> Given different aspects of the disease such as motor, speech</w:t>
      </w:r>
      <w:r w:rsidR="006A6868" w:rsidRPr="001177AF">
        <w:rPr>
          <w:lang w:val="en-GB"/>
        </w:rPr>
        <w:t>,</w:t>
      </w:r>
      <w:r w:rsidRPr="001177AF">
        <w:rPr>
          <w:lang w:val="en-GB"/>
        </w:rPr>
        <w:t xml:space="preserve"> and sensory disturbances which are highly heterogeneous across patients and disease stages </w:t>
      </w:r>
      <w:r w:rsidRPr="001177AF">
        <w:rPr>
          <w:lang w:val="en-GB"/>
        </w:rPr>
        <w:fldChar w:fldCharType="begin"/>
      </w:r>
      <w:r w:rsidR="00726C10" w:rsidRPr="001177AF">
        <w:rPr>
          <w:lang w:val="en-GB"/>
        </w:rPr>
        <w:instrText>ADDIN F1000_CSL_CITATION&lt;~#@#~&gt;[{"DOI":"10.1038/s42003-022-03002-x","First":false,"Last":false,"PMCID":"PMC8763910","PMID":"35039601","abstract":"Parkinson's disease (PD) is one of the first diseases where digital biomarkers demonstrated excellent performance in differentiating disease from healthy individuals. However, no study has systematically compared and leveraged multiple types of digital biomarkers to predict PD. Particularly, machine learning works on the fine-motor skills of PD are limited. Here, we developed deep learning methods that achieved an AUC (Area Under the receiver operator characteristic Curve) of 0.933 in identifying PD patients on 6418 individuals using 75048 tapping accelerometer and position records. Performance of tapping is superior to gait/rest and voice-based models obtained from the same benchmark population. Assembling the three models achieved a higher AUC of 0.944. Notably, the models not only correlated strongly to, but also performed better than patient self-reported symptom scores in diagnosing PD. This study demonstrates the complementary predictive power of tapping, gait/rest and voice data and establishes integrative deep learning-based models for identifying PD.&lt;br&gt;&lt;br&gt;© 2022. The Author(s).","author":[{"family":"Deng","given":"Kaiwen"},{"family":"Li","given":"Yueming"},{"family":"Zhang","given":"Hanrui"},{"family":"Wang","given":"Jian"},{"family":"Albin","given":"Roger L"},{"family":"Guan","given":"Yuanfang"}],"authorYearDisplayFormat":false,"citation-label":"13092323","container-title":"Communications Biology","container-title-short":"Commun. Biol.","id":"13092323","invisible":false,"issue":"1","issued":{"date-parts":[["2022","1","17"]]},"journalAbbreviation":"Commun. Biol.","page":"58","suppress-author":false,"title":"Heterogeneous digital biomarker integration out-performs patient self-reports in predicting Parkinson's disease.","type":"article-journal","volume":"5"}]</w:instrText>
      </w:r>
      <w:r w:rsidRPr="001177AF">
        <w:rPr>
          <w:lang w:val="en-GB"/>
        </w:rPr>
        <w:fldChar w:fldCharType="separate"/>
      </w:r>
      <w:r w:rsidR="00726C10" w:rsidRPr="001177AF">
        <w:rPr>
          <w:noProof/>
          <w:lang w:val="en-GB"/>
        </w:rPr>
        <w:t>(15)</w:t>
      </w:r>
      <w:r w:rsidRPr="001177AF">
        <w:rPr>
          <w:lang w:val="en-GB"/>
        </w:rPr>
        <w:fldChar w:fldCharType="end"/>
      </w:r>
      <w:r w:rsidRPr="001177AF">
        <w:rPr>
          <w:lang w:val="en-GB"/>
        </w:rPr>
        <w:t xml:space="preserve">, remote monitoring in PD is a powerful way to better understand the feasibility of deploying such methods as a complement to traditional in-clinic visits </w:t>
      </w:r>
      <w:r w:rsidRPr="001177AF">
        <w:rPr>
          <w:lang w:val="en-GB"/>
        </w:rPr>
        <w:fldChar w:fldCharType="begin"/>
      </w:r>
      <w:r w:rsidR="00726C10" w:rsidRPr="001177AF">
        <w:rPr>
          <w:lang w:val="en-GB"/>
        </w:rPr>
        <w:instrText>ADDIN F1000_CSL_CITATION&lt;~#@#~&gt;[{"DOI":"10.3233/JPD-202428","First":false,"Last":false,"PMCID":"PMC8385507","PMID":"33579873","abstract":"The burden of Parkinson's disease (PD) continues to grow at an unsustainable pace particularly given that it now represents the fastest growing brain disease. Despite seminal discoveries in genetics and pathogenesis, people living with PD oftentimes wait years to obtain an accurate diagnosis and have no way to know their own prognostic fate once they do learn they have the disease. Currently, there is no objective biomarker to measure the onset, progression, and severity of PD along the disease continuum. Without such tools, the effectiveness of any given treatment, experimental or conventional cannot be measured. Such tools are urgently needed now more than ever given the rich number of new candidate therapies in the pipeline. Over the last decade, millions of dollars have been directed to identify biomarkers to inform progression of PD typically using molecular, fluid or imaging modalities). These efforts have produced novel insights in our understanding of PD including mechanistic targets, disease subtypes and imaging biomarkers. While we have learned a lot along the way, implementation of robust disease progression biomarkers as tools for quantifying changes in disease status or severity remains elusive. Biomarkers have improved health outcomes and led to accelerated drug approvals in key areas of unmet need such as oncology. Quantitative biomarker measures such as HbA1c a standard test for the monitoring of diabetes has impacted patient care and management, both for the healthcare professionals and the patient community. Such advances accelerate opportunities for early intervention including prevention of disease in high-risk individuals. In PD, progression markers are needed at all stages of the disease in order to catalyze drug development-this allows interventions aimed to halt or slow disease progression, very early, but also facilitates symptomatic treatments at moderate stages of the disease. Recently, attention has turned to the role of digital health technologies to complement the traditional modalities as they are relatively low cost, objective and scalable. Success in this endeavor would be transformative for clinical research and therapeutic development. Consequently, significant investment has led to a number of collaborative efforts to identify and validate suitable digital biomarkers of disease progression.","author":[{"family":"Stephenson","given":"Diane"},{"family":"Badawy","given":"Reham"},{"family":"Mathur","given":"Soania"},{"family":"Tome","given":"Maria"},{"family":"Rochester","given":"Lynn"}],"authorYearDisplayFormat":false,"citation-label":"13394233","container-title":"Journal of Parkinson's disease","container-title-short":"J Parkinsons Dis","id":"13394233","invisible":false,"issued":{"date-parts":[["2021","2","11"]]},"journalAbbreviation":"J Parkinsons Dis","suppress-author":false,"title":"Digital progression biomarkers as novel endpoints in clinical trials: A multistakeholder perspective.","type":"article-journal"},{"DOI":"10.1038/s41587-021-00974-9","First":false,"Last":false,"PMID":"34373643","abstract":"Remote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w:instrText>
      </w:r>
      <w:r w:rsidRPr="001177AF">
        <w:rPr>
          <w:lang w:val="en-GB"/>
        </w:rPr>
        <w:fldChar w:fldCharType="separate"/>
      </w:r>
      <w:r w:rsidR="00726C10" w:rsidRPr="001177AF">
        <w:rPr>
          <w:noProof/>
          <w:lang w:val="en-GB"/>
        </w:rPr>
        <w:t>(6,16)</w:t>
      </w:r>
      <w:r w:rsidRPr="001177AF">
        <w:rPr>
          <w:lang w:val="en-GB"/>
        </w:rPr>
        <w:fldChar w:fldCharType="end"/>
      </w:r>
      <w:r w:rsidRPr="001177AF">
        <w:rPr>
          <w:lang w:val="en-GB"/>
        </w:rPr>
        <w:t>.</w:t>
      </w:r>
    </w:p>
    <w:p w14:paraId="67E1E8CA" w14:textId="6C3F707F" w:rsidR="006A6868" w:rsidRPr="001177AF" w:rsidRDefault="00C53B0E" w:rsidP="008064B7">
      <w:pPr>
        <w:spacing w:line="360" w:lineRule="auto"/>
        <w:jc w:val="both"/>
        <w:rPr>
          <w:color w:val="000000"/>
          <w:lang w:val="en-GB"/>
        </w:rPr>
      </w:pPr>
      <w:r w:rsidRPr="001177AF">
        <w:rPr>
          <w:color w:val="000000"/>
          <w:lang w:val="en-GB"/>
        </w:rPr>
        <w:t xml:space="preserve">PD is the second most </w:t>
      </w:r>
      <w:r w:rsidR="00CC7E18" w:rsidRPr="001177AF">
        <w:rPr>
          <w:color w:val="000000"/>
          <w:lang w:val="en-GB"/>
        </w:rPr>
        <w:t>prevalent</w:t>
      </w:r>
      <w:r w:rsidRPr="001177AF">
        <w:rPr>
          <w:color w:val="000000"/>
          <w:lang w:val="en-GB"/>
        </w:rPr>
        <w:t xml:space="preserve"> neurodegenerative disorder of the elderly, involving approximately 9.4 million people over </w:t>
      </w:r>
      <w:r w:rsidR="001A367B" w:rsidRPr="001177AF">
        <w:rPr>
          <w:color w:val="000000"/>
          <w:lang w:val="en-GB"/>
        </w:rPr>
        <w:t xml:space="preserve">the </w:t>
      </w:r>
      <w:r w:rsidRPr="001177AF">
        <w:rPr>
          <w:color w:val="000000"/>
          <w:lang w:val="en-GB"/>
        </w:rPr>
        <w:t xml:space="preserve">age </w:t>
      </w:r>
      <w:r w:rsidR="00F7009E" w:rsidRPr="001177AF">
        <w:rPr>
          <w:color w:val="000000"/>
          <w:lang w:val="en-GB"/>
        </w:rPr>
        <w:t xml:space="preserve">of </w:t>
      </w:r>
      <w:r w:rsidRPr="001177AF">
        <w:rPr>
          <w:color w:val="000000"/>
          <w:lang w:val="en-GB"/>
        </w:rPr>
        <w:t xml:space="preserve">60 worldwide in 2020 </w:t>
      </w:r>
      <w:r w:rsidRPr="001177AF">
        <w:rPr>
          <w:color w:val="000000"/>
          <w:lang w:val="en-GB"/>
        </w:rPr>
        <w:fldChar w:fldCharType="begin"/>
      </w:r>
      <w:r w:rsidR="00726C10" w:rsidRPr="001177AF">
        <w:rPr>
          <w:color w:val="000000"/>
          <w:lang w:val="en-GB"/>
        </w:rPr>
        <w:instrText>ADDIN F1000_CSL_CITATION&lt;~#@#~&gt;[{"First":false,"Last":false,"URL":"https://www.mdsabstracts.org/abstract/estimation-of-the-2020-global-population-of-parkinsons-disease-pd/","accessed":{"date-parts":[["2022","7","4"]]},"authorYearDisplayFormat":false,"citation-label":"13259570","id":"13259570","invisible":false,"issued":{"date-parts":[[]]},"suppress-author":false,"title":"Estimation of the 2020 Global Population of Parkinson’s Disease (PD) - MDS Abstracts","type":"webpage"}]</w:instrText>
      </w:r>
      <w:r w:rsidRPr="001177AF">
        <w:rPr>
          <w:color w:val="000000"/>
          <w:lang w:val="en-GB"/>
        </w:rPr>
        <w:fldChar w:fldCharType="separate"/>
      </w:r>
      <w:r w:rsidR="00726C10" w:rsidRPr="001177AF">
        <w:rPr>
          <w:color w:val="000000"/>
          <w:lang w:val="en-GB"/>
        </w:rPr>
        <w:t>(17)</w:t>
      </w:r>
      <w:r w:rsidRPr="001177AF">
        <w:rPr>
          <w:color w:val="000000"/>
          <w:lang w:val="en-GB"/>
        </w:rPr>
        <w:fldChar w:fldCharType="end"/>
      </w:r>
      <w:r w:rsidRPr="001177AF">
        <w:rPr>
          <w:color w:val="000000"/>
          <w:lang w:val="en-GB"/>
        </w:rPr>
        <w:t xml:space="preserve">. </w:t>
      </w:r>
      <w:r w:rsidR="00B3185C" w:rsidRPr="001177AF">
        <w:rPr>
          <w:color w:val="000000"/>
          <w:lang w:val="en-GB"/>
        </w:rPr>
        <w:t xml:space="preserve">This complex progressive movement disease is essentially </w:t>
      </w:r>
      <w:r w:rsidR="005D54DC" w:rsidRPr="001177AF">
        <w:rPr>
          <w:color w:val="000000"/>
          <w:lang w:val="en-GB"/>
        </w:rPr>
        <w:t>characterised</w:t>
      </w:r>
      <w:r w:rsidR="00B3185C" w:rsidRPr="001177AF">
        <w:rPr>
          <w:color w:val="000000"/>
          <w:lang w:val="en-GB"/>
        </w:rPr>
        <w:t xml:space="preserve"> by motor signs, such as muscle rigidity, rest tremor, akinesia, and postural instability</w:t>
      </w:r>
      <w:r w:rsidR="00290CE9"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F1000_CSL_CITATION&lt;~#@#~&gt;[{"DOI":"10.1136/jnnp.2007.131045","First":false,"Last":false,"PMID":"18344392","abstract":"&lt;strong&gt;OBJECTIVE:&lt;/strong&gt; Parkinson's disease (PD) is a progressive neurological disorder characterised by a large number of motor and non-motor features that can impact on function to a variable degree. This review describes the clinical characteristics of PD with emphasis on those features that differentiate the disease from other parkinsonian disorders.&lt;br&gt;&lt;br&gt;&lt;strong&gt;METHODS:&lt;/strong&gt; A MedLine search was performed to identify studies that assess the clinical characteristics of PD. Search terms included \"Parkinson's disease\", \"diagnosis\" and \"signs and symptoms\".&lt;br&gt;&lt;br&gt;&lt;strong&gt;RESULTS:&lt;/strong&gt; Because there is no definitive test for the diagnosis of PD, the disease must be diagnosed based on clinical criteria. Rest tremor, bradykinesia, rigidity and loss of postural reflexes are generally considered the cardinal signs of PD. The presence and specific presentation of these features are used to differentiate PD from related parkinsonian disorders. Other clinical features include secondary motor symptoms (eg, hypomimia, dysarthria, dysphagia, sialorrhoea, micrographia, shuffling gait, festination, freezing, dystonia, glabellar reflexes), non-motor symptoms (eg, autonomic dysfunction, cognitive/neurobehavioral abnormalities, sleep disorders and sensory abnormalities such as anosmia, paresthesias and pain). Absence of rest tremor, early occurrence of gait difficulty, postural instability, dementia, hallucinations, and the presence of dysautonomia, ophthalmoparesis, ataxia and other atypical features, coupled with poor or no response to levodopa, suggest diagnoses other than PD.&lt;br&gt;&lt;br&gt;&lt;strong&gt;CONCLUSIONS:&lt;/strong&gt; A thorough understanding of the broad spectrum of clinical manifestations of PD is essential to the proper diagnosis of the disease. Genetic mutations or variants, neuroimaging abnormalities and other tests are potential biomarkers that may improve diagnosis and allow the identification of persons at risk.","author":[{"family":"Jankovic","given":"J"}],"authorYearDisplayFormat":false,"citation-label":"1067785","container-title":"Journal of Neurology, Neurosurgery, and Psychiatry","container-title-short":"J. Neurol. Neurosurg. Psychiatr.","id":"1067785","invisible":false,"issue":"4","issued":{"date-parts":[["2008","4"]]},"journalAbbreviation":"J. Neurol. Neurosurg. Psychiatr.","page":"368-376","suppress-author":false,"title":"Parkinson's disease: clinical features and diagnosis.","type":"article-journal","volume":"79"}]</w:instrText>
      </w:r>
      <w:r w:rsidR="006E211D" w:rsidRPr="001177AF">
        <w:rPr>
          <w:color w:val="000000"/>
          <w:lang w:val="en-GB"/>
        </w:rPr>
        <w:fldChar w:fldCharType="separate"/>
      </w:r>
      <w:r w:rsidR="00726C10" w:rsidRPr="001177AF">
        <w:rPr>
          <w:noProof/>
          <w:color w:val="000000"/>
          <w:lang w:val="en-GB"/>
        </w:rPr>
        <w:t>(18)</w:t>
      </w:r>
      <w:r w:rsidR="006E211D" w:rsidRPr="001177AF">
        <w:rPr>
          <w:color w:val="000000"/>
          <w:lang w:val="en-GB"/>
        </w:rPr>
        <w:fldChar w:fldCharType="end"/>
      </w:r>
      <w:r w:rsidR="00B3185C" w:rsidRPr="001177AF">
        <w:rPr>
          <w:color w:val="000000"/>
          <w:lang w:val="en-GB"/>
        </w:rPr>
        <w:t>. However, diverse non-motor symptoms, including sleep disorders, psychiatric disorders, and sensory disturbances are also present in PD</w:t>
      </w:r>
      <w:r w:rsidR="00290CE9"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F1000_CSL_CITATION&lt;~#@#~&gt;[{"DOI":"10.1007/s12272-021-01337-3","First":false,"Last":false,"PMCID":"PMC8254697","PMID":"34145553","abstract":"Parkinson's disease (PD) is a progressive neurodegenerative disease characterized by movement dysfunction due to selective degeneration of dopaminergic neurons in the substantia nigra pars compacta. Non-motor symptoms of PD (e.g., sensory dysfunction, sleep disturbance, constipation, neuropsychiatric symptoms) precede motor symptoms, appear at all stages, and impact the quality of life, but they frequently go unrecognized and remain untreated. Even when identified, traditional dopamine replacement therapies have little effect. We discuss here the pathology of two PD-associated non-motor symptoms: olfactory dysfunction and depression. Olfactory dysfunction is one of the earliest non-motor symptoms in PD and predates the onset of motor symptoms. It is accompanied by early deposition of Lewy pathology and neurotransmitter alterations. Because of the correlation between olfactory dysfunction and an increased risk of progression to PD, olfactory testing can potentially be a specific diagnostic marker of PD in the prodromal stage. Depression is a prevalent PD-associated symptom and is often associated with reduced quality of life. Although the pathophysiology of depression in PD is unclear, studies suggest a causal relationship with abnormal neurotransmission and abnormal adult neurogenesis. Here, we summarize recent progress in the pathology of the non-motor symptoms of PD, aiming to provide better guidance for its effective management.","author":[{"family":"Bang","given":"Yeojin"},{"family":"Lim","given":"Juhee"},{"family":"Choi","given":"Hyun Jin"}],"authorYearDisplayFormat":false,"citation-label":"13560913","container-title":"Archives of Pharmacal Research","container-title-short":"Arch. Pharm. Res.","id":"13560913","invisible":false,"issue":"6","issued":{"date-parts":[["2021","6","19"]]},"journalAbbreviation":"Arch. Pharm. Res.","page":"588-604","suppress-author":false,"title":"Recent advances in the pathology of prodromal non-motor symptoms olfactory deficit and depression in Parkinson's disease: clues to early diagnosis and effective treatment.","type":"article-journal","volume":"44"},{"DOI":"10.1136/jnnp.2007.131045","First":false,"Last":false,"PMID":"18344392","abstract":"&lt;strong&gt;OBJECTIVE:&lt;/strong&gt; Parkinson's disease (PD) is a progressive neurological disorder characterised by a large number of motor and non-motor features that can impact on function to a variable degree. This review describes the clinical characteristics of PD with emphasis on those features that differentiate the disease from other parkinsonian disorders.&lt;br&gt;&lt;br&gt;&lt;strong&gt;METHODS:&lt;/strong&gt; A MedLine search was performed to identify studies that assess the clinical characteristics of PD. Search terms included \"Parkinson's disease\", \"diagnosis\" and \"signs and symptoms\".&lt;br&gt;&lt;br&gt;&lt;strong&gt;RESULTS:&lt;/strong&gt; Because there is no definitive test for the diagnosis of PD, the disease must be diagnosed based on clinical criteria. Rest tremor, bradykinesia, rigidity and loss of postural reflexes are generally considered the cardinal signs of PD. The presence and specific presentation of these features are used to differentiate PD from related parkinsonian disorders. Other clinical features include secondary motor symptoms (eg, hypomimia, dysarthria, dysphagia, sialorrhoea, micrographia, shuffling gait, festination, freezing, dystonia, glabellar reflexes), non-motor symptoms (eg, autonomic dysfunction, cognitive/neurobehavioral abnormalities, sleep disorders and sensory abnormalities such as anosmia, paresthesias and pain). Absence of rest tremor, early occurrence of gait difficulty, postural instability, dementia, hallucinations, and the presence of dysautonomia, ophthalmoparesis, ataxia and other atypical features, coupled with poor or no response to levodopa, suggest diagnoses other than PD.&lt;br&gt;&lt;br&gt;&lt;strong&gt;CONCLUSIONS:&lt;/strong&gt; A thorough understanding of the broad spectrum of clinical manifestations of PD is essential to the proper diagnosis of the disease. Genetic mutations or variants, neuroimaging abnormalities and other tests are potential biomarkers that may improve diagnosis and allow the identification of persons at risk.","author":[{"family":"Jankovic","given":"J"}],"authorYearDisplayFormat":false,"citation-label":"1067785","container-title":"Journal of Neurology, Neurosurgery, and Psychiatry","container-title-short":"J. Neurol. Neurosurg. Psychiatr.","id":"1067785","invisible":false,"issue":"4","issued":{"date-parts":[["2008","4"]]},"journalAbbreviation":"J. Neurol. Neurosurg. Psychiatr.","page":"368-376","suppress-author":false,"title":"Parkinson's disease: clinical features and diagnosis.","type":"article-journal","volume":"79"}]</w:instrText>
      </w:r>
      <w:r w:rsidR="006E211D" w:rsidRPr="001177AF">
        <w:rPr>
          <w:color w:val="000000"/>
          <w:lang w:val="en-GB"/>
        </w:rPr>
        <w:fldChar w:fldCharType="separate"/>
      </w:r>
      <w:r w:rsidR="00726C10" w:rsidRPr="001177AF">
        <w:rPr>
          <w:noProof/>
          <w:color w:val="000000"/>
          <w:lang w:val="en-GB"/>
        </w:rPr>
        <w:t>(18,19)</w:t>
      </w:r>
      <w:r w:rsidR="006E211D" w:rsidRPr="001177AF">
        <w:rPr>
          <w:color w:val="000000"/>
          <w:lang w:val="en-GB"/>
        </w:rPr>
        <w:fldChar w:fldCharType="end"/>
      </w:r>
      <w:r w:rsidR="00B3185C" w:rsidRPr="001177AF">
        <w:rPr>
          <w:color w:val="000000"/>
          <w:lang w:val="en-GB"/>
        </w:rPr>
        <w:t>.</w:t>
      </w:r>
    </w:p>
    <w:p w14:paraId="7DE69F45" w14:textId="17D0D15C" w:rsidR="006A6868" w:rsidRPr="001177AF" w:rsidRDefault="00C53B0E" w:rsidP="00D8036E">
      <w:pPr>
        <w:spacing w:line="360" w:lineRule="auto"/>
        <w:jc w:val="both"/>
        <w:rPr>
          <w:color w:val="000000"/>
          <w:lang w:val="en-GB"/>
        </w:rPr>
      </w:pPr>
      <w:r w:rsidRPr="001177AF">
        <w:rPr>
          <w:color w:val="000000"/>
          <w:lang w:val="en-GB"/>
        </w:rPr>
        <w:t xml:space="preserve">PD is classically </w:t>
      </w:r>
      <w:r w:rsidR="005D54DC" w:rsidRPr="001177AF">
        <w:rPr>
          <w:color w:val="000000"/>
          <w:lang w:val="en-GB"/>
        </w:rPr>
        <w:t>characterised</w:t>
      </w:r>
      <w:r w:rsidRPr="001177AF">
        <w:rPr>
          <w:color w:val="000000"/>
          <w:lang w:val="en-GB"/>
        </w:rPr>
        <w:t xml:space="preserve"> by </w:t>
      </w:r>
      <w:r w:rsidR="00290CE9" w:rsidRPr="001177AF">
        <w:rPr>
          <w:color w:val="000000"/>
          <w:lang w:val="en-GB"/>
        </w:rPr>
        <w:t xml:space="preserve">a </w:t>
      </w:r>
      <w:r w:rsidRPr="001177AF">
        <w:rPr>
          <w:color w:val="000000"/>
          <w:lang w:val="en-GB"/>
        </w:rPr>
        <w:t>gradual loss of dopaminergic neurons in the substantia nigra, a region of the midbrain responsible for movement control, as well as an abnormal accumulation of Alpha-synuclein</w:t>
      </w:r>
      <w:r w:rsidR="00B3185C" w:rsidRPr="001177AF">
        <w:rPr>
          <w:color w:val="000000"/>
          <w:lang w:val="en-GB"/>
        </w:rPr>
        <w:t xml:space="preserve"> (α-synuclein)</w:t>
      </w:r>
      <w:r w:rsidRPr="001177AF">
        <w:rPr>
          <w:color w:val="000000"/>
          <w:lang w:val="en-GB"/>
        </w:rPr>
        <w:t xml:space="preserve"> aggregates called Lewy bodies, which blocks </w:t>
      </w:r>
      <w:r w:rsidR="004E0CB0" w:rsidRPr="001177AF">
        <w:rPr>
          <w:color w:val="000000"/>
          <w:lang w:val="en-GB"/>
        </w:rPr>
        <w:t>dopamine's</w:t>
      </w:r>
      <w:r w:rsidRPr="001177AF">
        <w:rPr>
          <w:color w:val="000000"/>
          <w:lang w:val="en-GB"/>
        </w:rPr>
        <w:t xml:space="preserve"> production and transmission, and subsequent loss of dopamine in the striatum</w:t>
      </w:r>
      <w:r w:rsidR="00290CE9"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F1000_CSL_CITATION&lt;~#@#~&gt;[{"DOI":"10.1007/s00281-022-00947-3","First":false,"Last":false,"PMCID":"PMC9519672","PMID":"35674826","abstract":"Parkinson's disease (PD) is the second most common neurodegenerative disorder which affects 6.1 million people worldwide. The neuropathological hallmarks include the loss of dopaminergic neurons in the substantia nigra, the presence of Lewy bodies and Lewy neurites caused by α-synuclein aggregation, and neuroinflammation in the brain. The prodromal phase happens years before the onset of PD during which time many patients show gastro-intestinal symptoms. These symptoms are in support of Braak's theory and model where pathological α-synuclein propagates from the gut to the brain. Importantly, immune responses play a determinant role in the pathogenesis of Parkinson's disease. The innate immune responses triggered by microglia can cause neuronal death and disease progression. In addition, T cells infiltrate into the brains of PD patients and become involved in the adaptive immune responses. Interestingly, α-synuclein is associated with both innate and adaptive immune responses by directly interacting with microglia and T cells. Here, we give a detailed review of the immunobiology of Parkinson's disease, focusing on the role α-synuclein in the gut-brain axis hypothesis, the innate and adaptive immune responses involved in the disease, and current treatments.&lt;br&gt;&lt;br&gt;© 2022. The Author(s).","author":[{"family":"Zhu","given":"Biqing"},{"family":"Yin","given":"Dominic"},{"family":"Zhao","given":"Hongyu"},{"family":"Zhang","given":"Le"}],"authorYearDisplayFormat":false,"citation-label":"13376728","container-title":"Seminars in immunopathology","container-title-short":"Semin. Immunopathol.","id":"13376728","invisible":false,"issued":{"date-parts":[["2022","6","8"]]},"journalAbbreviation":"Semin. Immunopathol.","suppress-author":false,"title":"The immunology of Parkinson's disease.","type":"article-journal"},{"DOI":"10.1038/nm.2165","First":false,"Last":false,"PMID":"20495568","abstract":"Parkinson's disease is a neurodegenerative process characterized by numerous motor and nonmotor clinical manifestations for which effective, mechanism-based treatments remain elusive. Here we discuss a series of critical issues that we think researchers need to address to stand a better chance of solving the different challenges posed by this pathology.","author":[{"family":"Obeso","given":"Jose A"},{"family":"Rodriguez-Oroz","given":"Maria C"},{"family":"Goetz","given":"Christopher G"},{"family":"Marin","given":"Concepcion"},{"family":"Kordower","given":"Jeffrey H"},{"family":"Rodriguez","given":"Manuel"},{"family":"Hirsch","given":"Etienne C"},{"family":"Farrer","given":"Matthew"},{"family":"Schapira","given":"Anthony H V"},{"family":"Halliday","given":"Glenda"}],"authorYearDisplayFormat":false,"citation-label":"1663","container-title":"Nature Medicine","container-title-short":"Nat. Med.","id":"1663","invisible":false,"issue":"6","issued":{"date-parts":[["2010","6"]]},"journalAbbreviation":"Nat. Med.","page":"653-661","suppress-author":false,"title":"Missing pieces in the Parkinson's disease puzzle.","type":"article-journal","volume":"16"},{"DOI":"10.1016/j.tins.2010.09.004","First":false,"Last":false,"PMCID":"PMC3631137","PMID":"20961626","abstract":"α-Synuclein is central to the Lewy body neuropathology of Parkinson's disease (PD), a devastating neurodegenerative disorder characterized by numerous motor and non-motor manifestations. The cardinal motor symptoms are linked to death of dopaminergic neurons in the nigrostriatal pathway. Here we ask why these neurons are preferentially susceptible to neurodegeneration in PD and how α-synuclein is involved. To address these questions we bring together recent findings from genome-wide association studies, which reveal the involvement of α-synuclein gene variants in sporadic PD, with recent studies highlighting important roles for α-synuclein in synaptic transmission and dopaminergic neuron physiology. These latest advances add to our understanding of PD etiology and provide a central link between the genetic findings and neurodegeneration observed in sporadic PD.&lt;br&gt;&lt;br&gt;Copyright © 2010 Elsevier Ltd. All rights reserved.","author":[{"family":"Venda","given":"Lara Lourenço"},{"family":"Cragg","given":"Stephanie J"},{"family":"Buchman","given":"Vladimir L"},{"family":"Wade-Martins","given":"Richard"}],"authorYearDisplayFormat":false,"citation-label":"235751","container-title":"Trends in Neurosciences","container-title-short":"Trends Neurosci.","id":"235751","invisible":false,"issue":"12","issued":{"date-parts":[["2010","12"]]},"journalAbbreviation":"Trends Neurosci.","page":"559-568","suppress-author":false,"title":"α-Synuclein and dopamine at the crossroads of Parkinson's disease.","type":"article-journal","volume":"33"}]</w:instrText>
      </w:r>
      <w:r w:rsidR="006E211D" w:rsidRPr="001177AF">
        <w:rPr>
          <w:color w:val="000000"/>
          <w:lang w:val="en-GB"/>
        </w:rPr>
        <w:fldChar w:fldCharType="separate"/>
      </w:r>
      <w:r w:rsidR="00726C10" w:rsidRPr="001177AF">
        <w:rPr>
          <w:noProof/>
          <w:color w:val="000000"/>
          <w:lang w:val="en-GB"/>
        </w:rPr>
        <w:t>(20–22)</w:t>
      </w:r>
      <w:r w:rsidR="006E211D" w:rsidRPr="001177AF">
        <w:rPr>
          <w:color w:val="000000"/>
          <w:lang w:val="en-GB"/>
        </w:rPr>
        <w:fldChar w:fldCharType="end"/>
      </w:r>
      <w:r w:rsidR="00290CE9" w:rsidRPr="001177AF">
        <w:rPr>
          <w:color w:val="000000"/>
          <w:lang w:val="en-GB"/>
        </w:rPr>
        <w:t>.</w:t>
      </w:r>
      <w:r w:rsidRPr="001177AF">
        <w:rPr>
          <w:color w:val="000000"/>
          <w:lang w:val="en-GB"/>
        </w:rPr>
        <w:t xml:space="preserve"> </w:t>
      </w:r>
      <w:r w:rsidR="00160D71" w:rsidRPr="001177AF">
        <w:rPr>
          <w:color w:val="000000"/>
          <w:lang w:val="en-GB"/>
        </w:rPr>
        <w:t>N</w:t>
      </w:r>
      <w:r w:rsidRPr="001177AF">
        <w:rPr>
          <w:color w:val="000000"/>
          <w:lang w:val="en-GB"/>
        </w:rPr>
        <w:t xml:space="preserve">evertheless, </w:t>
      </w:r>
      <w:r w:rsidR="00B3185C" w:rsidRPr="001177AF">
        <w:rPr>
          <w:color w:val="000000"/>
          <w:lang w:val="en-GB"/>
        </w:rPr>
        <w:t>increasing evidence</w:t>
      </w:r>
      <w:r w:rsidRPr="001177AF">
        <w:rPr>
          <w:color w:val="000000"/>
          <w:lang w:val="en-GB"/>
        </w:rPr>
        <w:t xml:space="preserve"> </w:t>
      </w:r>
      <w:r w:rsidR="00160D71" w:rsidRPr="001177AF">
        <w:rPr>
          <w:color w:val="000000"/>
          <w:lang w:val="en-GB"/>
        </w:rPr>
        <w:t>has</w:t>
      </w:r>
      <w:r w:rsidRPr="001177AF">
        <w:rPr>
          <w:color w:val="000000"/>
          <w:lang w:val="en-GB"/>
        </w:rPr>
        <w:t xml:space="preserve"> apparently shown that</w:t>
      </w:r>
      <w:r w:rsidR="00B3185C" w:rsidRPr="001177AF">
        <w:rPr>
          <w:color w:val="000000"/>
          <w:lang w:val="en-GB"/>
        </w:rPr>
        <w:t xml:space="preserve"> PD is a multisystem disorder</w:t>
      </w:r>
      <w:r w:rsidRPr="001177AF">
        <w:rPr>
          <w:color w:val="000000"/>
          <w:lang w:val="en-GB"/>
        </w:rPr>
        <w:t xml:space="preserve"> </w:t>
      </w:r>
      <w:r w:rsidR="00B3185C" w:rsidRPr="001177AF">
        <w:rPr>
          <w:color w:val="000000"/>
          <w:lang w:val="en-GB"/>
        </w:rPr>
        <w:t xml:space="preserve">and </w:t>
      </w:r>
      <w:r w:rsidRPr="001177AF">
        <w:rPr>
          <w:color w:val="000000"/>
          <w:lang w:val="en-GB"/>
        </w:rPr>
        <w:t>the substantia nigra is not the only</w:t>
      </w:r>
      <w:r w:rsidR="003E2EE2" w:rsidRPr="001177AF">
        <w:rPr>
          <w:color w:val="000000"/>
          <w:lang w:val="en-GB"/>
        </w:rPr>
        <w:t xml:space="preserve"> </w:t>
      </w:r>
      <w:r w:rsidRPr="001177AF">
        <w:rPr>
          <w:color w:val="000000"/>
          <w:lang w:val="en-GB"/>
        </w:rPr>
        <w:t>or the first brain region damaged in PD</w:t>
      </w:r>
      <w:r w:rsidR="00247B41" w:rsidRPr="001177AF">
        <w:rPr>
          <w:color w:val="000000"/>
          <w:lang w:val="en-GB"/>
        </w:rPr>
        <w:t>. The</w:t>
      </w:r>
      <w:r w:rsidRPr="001177AF">
        <w:rPr>
          <w:color w:val="000000"/>
          <w:lang w:val="en-GB"/>
        </w:rPr>
        <w:t xml:space="preserve"> degenerative process in PD is much more extensive </w:t>
      </w:r>
      <w:r w:rsidR="00160D71" w:rsidRPr="001177AF">
        <w:rPr>
          <w:color w:val="000000"/>
          <w:lang w:val="en-GB"/>
        </w:rPr>
        <w:t>that</w:t>
      </w:r>
      <w:r w:rsidRPr="001177AF">
        <w:rPr>
          <w:color w:val="000000"/>
          <w:lang w:val="en-GB"/>
        </w:rPr>
        <w:t xml:space="preserve"> affects the whole nervous system </w:t>
      </w:r>
      <w:r w:rsidR="005179DF" w:rsidRPr="001177AF">
        <w:rPr>
          <w:color w:val="000000"/>
          <w:lang w:val="en-GB"/>
        </w:rPr>
        <w:fldChar w:fldCharType="begin"/>
      </w:r>
      <w:r w:rsidR="00726C10" w:rsidRPr="001177AF">
        <w:rPr>
          <w:color w:val="000000"/>
          <w:lang w:val="en-GB"/>
        </w:rPr>
        <w:instrText>ADDIN F1000_CSL_CITATION&lt;~#@#~&gt;[{"DOI":"10.1016/j.neurol.2020.07.016","First":false,"Last":false,"PMID":"33032797","abstract":"Parkinson's disease (PD) is a complex, age-related, neurodegenerative disease whose pathogenesis remains incompletely understood. Here, we give an overview of the progress that has been made over the past four decades in our understanding of this disorder. We review the role of mitochondria, environmental toxicants, alpha-synuclein and neuroinflammation in the development of PD. We also discuss more recent data from genetics, which strongly support the endosomal-lysosomal pathways and mitophagy as being central to PD. Finally, we discuss the emerging role of the gut-brain axis as a modulator of PD progression. This article is intended to provide a comprehensive, general and practical review of PD pathogenesis for the general neurologist.&lt;br&gt;&lt;br&gt;Copyright © 2020 Elsevier Masson SAS. All rights reserved.","author":[{"family":"Rouaud","given":"T"},{"family":"Corbillé","given":"A G"},{"family":"Leclair-Visonneau","given":"L"},{"family":"de Guilhem de Lataillade","given":"A"},{"family":"Lionnet","given":"A"},{"family":"Preterre","given":"C"},{"family":"Damier","given":"P"},{"family":"Derkinderen","given":"P"}],"authorYearDisplayFormat":false,"citation-label":"9818531","container-title":"Revue neurologique","container-title-short":"Rev Neurol (Paris)","id":"9818531","invisible":false,"issue":"3","issued":{"date-parts":[["2021","3"]]},"journalAbbreviation":"Rev Neurol (Paris)","page":"260-271","suppress-author":false,"title":"Pathophysiology of Parkinson's disease: Mitochondria, alpha-synuclein and much more….","type":"article-journal","volume":"177"},{"DOI":"10.1038/nm.2165","First":false,"Last":false,"PMID":"20495568","abstract":"Parkinson's disease is a neurodegenerative process characterized by numerous motor and nonmotor clinical manifestations for which effective, mechanism-based treatments remain elusive. Here we discuss a series of critical issues that we think researchers need to address to stand a better chance of solving the different challenges posed by this pathology.","author":[{"family":"Obeso","given":"Jose A"},{"family":"Rodriguez-Oroz","given":"Maria C"},{"family":"Goetz","given":"Christopher G"},{"family":"Marin","given":"Concepcion"},{"family":"Kordower","given":"Jeffrey H"},{"family":"Rodriguez","given":"Manuel"},{"family":"Hirsch","given":"Etienne C"},{"family":"Farrer","given":"Matthew"},{"family":"Schapira","given":"Anthony H V"},{"family":"Halliday","given":"Glenda"}],"authorYearDisplayFormat":false,"citation-label":"1663","container-title":"Nature Medicine","container-title-short":"Nat. Med.","id":"1663","invisible":false,"issue":"6","issued":{"date-parts":[["2010","6"]]},"journalAbbreviation":"Nat. Med.","page":"653-661","suppress-author":false,"title":"Missing pieces in the Parkinson's disease puzzle.","type":"article-journal","volume":"16"}]</w:instrText>
      </w:r>
      <w:r w:rsidR="005179DF" w:rsidRPr="001177AF">
        <w:rPr>
          <w:color w:val="000000"/>
          <w:lang w:val="en-GB"/>
        </w:rPr>
        <w:fldChar w:fldCharType="separate"/>
      </w:r>
      <w:r w:rsidR="00726C10" w:rsidRPr="001177AF">
        <w:rPr>
          <w:noProof/>
          <w:color w:val="000000"/>
          <w:lang w:val="en-GB"/>
        </w:rPr>
        <w:t>(21,23)</w:t>
      </w:r>
      <w:r w:rsidR="005179DF" w:rsidRPr="001177AF">
        <w:rPr>
          <w:color w:val="000000"/>
          <w:lang w:val="en-GB"/>
        </w:rPr>
        <w:fldChar w:fldCharType="end"/>
      </w:r>
      <w:r w:rsidR="006C218D" w:rsidRPr="001177AF">
        <w:rPr>
          <w:color w:val="000000"/>
          <w:lang w:val="en-GB"/>
        </w:rPr>
        <w:t>.</w:t>
      </w:r>
      <w:r w:rsidR="007D5D81" w:rsidRPr="001177AF">
        <w:rPr>
          <w:color w:val="000000"/>
          <w:lang w:val="en-GB"/>
        </w:rPr>
        <w:t xml:space="preserve"> </w:t>
      </w:r>
      <w:r w:rsidR="00C341A0" w:rsidRPr="001177AF">
        <w:rPr>
          <w:color w:val="000000"/>
          <w:lang w:val="en-GB"/>
        </w:rPr>
        <w:t xml:space="preserve"> </w:t>
      </w:r>
    </w:p>
    <w:p w14:paraId="37D9514F" w14:textId="796BB69F" w:rsidR="00C341A0" w:rsidRPr="001177AF" w:rsidRDefault="00C341A0" w:rsidP="00D8036E">
      <w:pPr>
        <w:spacing w:line="360" w:lineRule="auto"/>
        <w:jc w:val="both"/>
        <w:rPr>
          <w:color w:val="000000"/>
          <w:lang w:val="en-GB"/>
        </w:rPr>
      </w:pPr>
      <w:r w:rsidRPr="001177AF">
        <w:rPr>
          <w:color w:val="000000"/>
          <w:lang w:val="en-GB"/>
        </w:rPr>
        <w:t>From a neuropathological point of view, while the motor</w:t>
      </w:r>
      <w:r w:rsidR="008064B7" w:rsidRPr="001177AF">
        <w:rPr>
          <w:color w:val="000000"/>
          <w:lang w:val="en-GB"/>
        </w:rPr>
        <w:t xml:space="preserve"> symptoms</w:t>
      </w:r>
      <w:r w:rsidR="00290CE9" w:rsidRPr="001177AF">
        <w:rPr>
          <w:color w:val="000000"/>
          <w:lang w:val="en-GB"/>
        </w:rPr>
        <w:t xml:space="preserve"> of PD</w:t>
      </w:r>
      <w:r w:rsidRPr="001177AF">
        <w:rPr>
          <w:color w:val="000000"/>
          <w:lang w:val="en-GB"/>
        </w:rPr>
        <w:t xml:space="preserve"> are mainly attributed to the degeneration of dopaminergic neurons in </w:t>
      </w:r>
      <w:r w:rsidR="006A6868" w:rsidRPr="001177AF">
        <w:rPr>
          <w:color w:val="000000"/>
          <w:lang w:val="en-GB"/>
        </w:rPr>
        <w:t xml:space="preserve">the </w:t>
      </w:r>
      <w:r w:rsidRPr="001177AF">
        <w:rPr>
          <w:color w:val="000000"/>
          <w:lang w:val="en-GB"/>
        </w:rPr>
        <w:t>nigrostriatal system, the non-motor symptoms such as sleep abnormality, loss of smell, depression</w:t>
      </w:r>
      <w:r w:rsidR="006A6868" w:rsidRPr="001177AF">
        <w:rPr>
          <w:color w:val="000000"/>
          <w:lang w:val="en-GB"/>
        </w:rPr>
        <w:t>,</w:t>
      </w:r>
      <w:r w:rsidRPr="001177AF">
        <w:rPr>
          <w:color w:val="000000"/>
          <w:lang w:val="en-GB"/>
        </w:rPr>
        <w:t xml:space="preserve"> and mood </w:t>
      </w:r>
      <w:r w:rsidRPr="001177AF">
        <w:rPr>
          <w:color w:val="000000"/>
          <w:lang w:val="en-GB"/>
        </w:rPr>
        <w:lastRenderedPageBreak/>
        <w:t xml:space="preserve">disorders are associated with a start of α-synuclein aggregates beyond the nigrostriatal dopaminergic system </w:t>
      </w:r>
      <w:r w:rsidRPr="001177AF">
        <w:rPr>
          <w:color w:val="000000"/>
          <w:lang w:val="en-GB"/>
        </w:rPr>
        <w:fldChar w:fldCharType="begin"/>
      </w:r>
      <w:r w:rsidR="00726C10" w:rsidRPr="001177AF">
        <w:rPr>
          <w:color w:val="000000"/>
          <w:lang w:val="en-GB"/>
        </w:rPr>
        <w:instrText>ADDIN F1000_CSL_CITATION&lt;~#@#~&gt;[{"DOI":"10.1002/ana.10846","First":false,"Last":false,"PMID":"14755720","abstract":"Genomic triplication of the alpha-synuclein gene recently has been associated with familial Parkinson's disease in the Spellman-Muenter kindred. Here, we present an independent family, of Swedish-American descent, with hereditary early-onset parkinsonism with dementia due to alpha-synuclein triplication. Brain tissue available from affected individuals in both kindreds provided the opportunity to compare their clinical, pathological, and biochemical phenotypes. Of note, studies of brain mRNA and soluble protein levels demonstrate a doubling of alpha-synuclein expression, consistent with molecular genetic data. Pathologically, cornu ammonis 2/3 hippocampal neuronal loss appears to be a defining feature of this form of inherited parkinsonism. The profound implications of alpha-synuclein overexpression for idiopathic synucleinopathies are discussed.","author":[{"family":"Farrer","given":"Matt"},{"family":"Kachergus","given":"Jennifer"},{"family":"Forno","given":"Lysia"},{"family":"Lincoln","given":"Sarah"},{"family":"Wang","given":"Deng-Shun"},{"family":"Hulihan","given":"Mary"},{"family":"Maraganore","given":"Demetrius"},{"family":"Gwinn-Hardy","given":"Katrina"},{"family":"Wszolek","given":"Zbigniew"},{"family":"Dickson","given":"Dennis"},{"family":"Langston","given":"J William"}],"authorYearDisplayFormat":false,"citation-label":"4747289","container-title":"Annals of Neurology","container-title-short":"Ann. Neurol.","id":"4747289","invisible":false,"issue":"2","issued":{"date-parts":[["2004","2"]]},"journalAbbreviation":"Ann. Neurol.","page":"174-179","suppress-author":false,"title":"Comparison of kindreds with parkinsonism and alpha-synuclein genomic multiplications.","type":"article-journal","volume":"55"},{"DOI":"10.1038/nm.2165","First":false,"Last":false,"PMID":"20495568","abstract":"Parkinson's disease is a neurodegenerative process characterized by numerous motor and nonmotor clinical manifestations for which effective, mechanism-based treatments remain elusive. Here we discuss a series of critical issues that we think researchers need to address to stand a better chance of solving the different challenges posed by this pathology.","author":[{"family":"Obeso","given":"Jose A"},{"family":"Rodriguez-Oroz","given":"Maria C"},{"family":"Goetz","given":"Christopher G"},{"family":"Marin","given":"Concepcion"},{"family":"Kordower","given":"Jeffrey H"},{"family":"Rodriguez","given":"Manuel"},{"family":"Hirsch","given":"Etienne C"},{"family":"Farrer","given":"Matthew"},{"family":"Schapira","given":"Anthony H V"},{"family":"Halliday","given":"Glenda"}],"authorYearDisplayFormat":false,"citation-label":"1663","container-title":"Nature Medicine","container-title-short":"Nat. Med.","id":"1663","invisible":false,"issue":"6","issued":{"date-parts":[["2010","6"]]},"journalAbbreviation":"Nat. Med.","page":"653-661","suppress-author":false,"title":"Missing pieces in the Parkinson's disease puzzle.","type":"article-journal","volume":"16"}]</w:instrText>
      </w:r>
      <w:r w:rsidRPr="001177AF">
        <w:rPr>
          <w:color w:val="000000"/>
          <w:lang w:val="en-GB"/>
        </w:rPr>
        <w:fldChar w:fldCharType="separate"/>
      </w:r>
      <w:r w:rsidR="00726C10" w:rsidRPr="001177AF">
        <w:rPr>
          <w:noProof/>
          <w:color w:val="000000"/>
          <w:lang w:val="en-GB"/>
        </w:rPr>
        <w:t>(21,24)</w:t>
      </w:r>
      <w:r w:rsidRPr="001177AF">
        <w:rPr>
          <w:color w:val="000000"/>
          <w:lang w:val="en-GB"/>
        </w:rPr>
        <w:fldChar w:fldCharType="end"/>
      </w:r>
      <w:r w:rsidRPr="001177AF">
        <w:rPr>
          <w:color w:val="000000"/>
          <w:lang w:val="en-GB"/>
        </w:rPr>
        <w:t>. Furthermore, the symptomatic phase of PD</w:t>
      </w:r>
      <w:r w:rsidR="008064B7" w:rsidRPr="001177AF">
        <w:rPr>
          <w:color w:val="000000"/>
          <w:lang w:val="en-GB"/>
        </w:rPr>
        <w:t xml:space="preserve">, which </w:t>
      </w:r>
      <w:r w:rsidR="00F7009E" w:rsidRPr="001177AF">
        <w:rPr>
          <w:color w:val="000000"/>
          <w:lang w:val="en-GB"/>
        </w:rPr>
        <w:t xml:space="preserve">is </w:t>
      </w:r>
      <w:r w:rsidR="008064B7" w:rsidRPr="001177AF">
        <w:rPr>
          <w:color w:val="000000"/>
          <w:lang w:val="en-GB"/>
        </w:rPr>
        <w:t xml:space="preserve">mainly </w:t>
      </w:r>
      <w:r w:rsidR="005D54DC" w:rsidRPr="001177AF">
        <w:rPr>
          <w:color w:val="000000"/>
          <w:lang w:val="en-GB"/>
        </w:rPr>
        <w:t>characterised</w:t>
      </w:r>
      <w:r w:rsidR="008064B7" w:rsidRPr="001177AF">
        <w:rPr>
          <w:color w:val="000000"/>
          <w:lang w:val="en-GB"/>
        </w:rPr>
        <w:t xml:space="preserve"> by the </w:t>
      </w:r>
      <w:r w:rsidR="00F7009E" w:rsidRPr="001177AF">
        <w:rPr>
          <w:color w:val="000000"/>
          <w:lang w:val="en-GB"/>
        </w:rPr>
        <w:t>above-mentioned</w:t>
      </w:r>
      <w:r w:rsidRPr="001177AF">
        <w:rPr>
          <w:color w:val="000000"/>
          <w:lang w:val="en-GB"/>
        </w:rPr>
        <w:t xml:space="preserve"> motor symptoms</w:t>
      </w:r>
      <w:r w:rsidR="008064B7" w:rsidRPr="001177AF">
        <w:rPr>
          <w:color w:val="000000"/>
          <w:lang w:val="en-GB"/>
        </w:rPr>
        <w:t xml:space="preserve">, </w:t>
      </w:r>
      <w:r w:rsidR="00F7009E" w:rsidRPr="001177AF">
        <w:rPr>
          <w:lang w:val="en-GB"/>
        </w:rPr>
        <w:t>is</w:t>
      </w:r>
      <w:r w:rsidRPr="001177AF">
        <w:rPr>
          <w:lang w:val="en-GB"/>
        </w:rPr>
        <w:t xml:space="preserve"> not evident until approximately 60–70% of </w:t>
      </w:r>
      <w:r w:rsidRPr="001177AF">
        <w:rPr>
          <w:color w:val="000000"/>
          <w:lang w:val="en-GB"/>
        </w:rPr>
        <w:t xml:space="preserve">dopaminergic </w:t>
      </w:r>
      <w:r w:rsidRPr="001177AF">
        <w:rPr>
          <w:lang w:val="en-GB"/>
        </w:rPr>
        <w:t xml:space="preserve">neurons in the substantia nigra </w:t>
      </w:r>
      <w:r w:rsidR="008064B7" w:rsidRPr="001177AF">
        <w:rPr>
          <w:lang w:val="en-GB"/>
        </w:rPr>
        <w:t>have</w:t>
      </w:r>
      <w:r w:rsidRPr="001177AF">
        <w:rPr>
          <w:lang w:val="en-GB"/>
        </w:rPr>
        <w:t xml:space="preserve"> already degenerated </w:t>
      </w:r>
      <w:r w:rsidRPr="001177AF">
        <w:rPr>
          <w:lang w:val="en-GB"/>
        </w:rPr>
        <w:fldChar w:fldCharType="begin"/>
      </w:r>
      <w:r w:rsidR="00726C10" w:rsidRPr="001177AF">
        <w:rPr>
          <w:lang w:val="en-GB"/>
        </w:rPr>
        <w:instrText>ADDIN F1000_CSL_CITATION&lt;~#@#~&gt;[{"DOI":"10.1016/s0896-6273(03)00568-3","First":false,"Last":false,"PMID":"12971891","abstract":"Parkinson's disease (PD) results primarily from the death of dopaminergic neurons in the substantia nigra. Current PD medications treat symptoms; none halt or retard dopaminergic neuron degeneration. The main obstacle to developing neuroprotective therapies is a limited understanding of the key molecular events that provoke neurodegeneration. The discovery of PD genes has led to the hypothesis that misfolding of proteins and dysfunction of the ubiquitin-proteasome pathway are pivotal to PD pathogenesis. Previously implicated culprits in PD neurodegeneration, mitochondrial dysfunction and oxidative stress, may also act in part by causing the accumulation of misfolded proteins, in addition to producing other deleterious events in dopaminergic neurons. Neurotoxin-based models (particularly MPTP) have been important in elucidating the molecular cascade of cell death in dopaminergic neurons. PD models based on the manipulation of PD genes should prove valuable in elucidating important aspects of the disease, such as selective vulnerability of substantia nigra dopaminergic neurons to the degenerative process.","author":[{"family":"Dauer","given":"William"},{"family":"Przedborski","given":"Serge"}],"authorYearDisplayFormat":false,"citation-label":"235757","container-title":"Neuron","container-title-short":"Neuron","id":"235757","invisible":false,"issue":"6","issued":{"date-parts":[["2003","9","11"]]},"journalAbbreviation":"Neuron","page":"889-909","suppress-author":false,"title":"Parkinson's disease: mechanisms and models.","type":"article-journal","volume":"39"}]</w:instrText>
      </w:r>
      <w:r w:rsidRPr="001177AF">
        <w:rPr>
          <w:lang w:val="en-GB"/>
        </w:rPr>
        <w:fldChar w:fldCharType="separate"/>
      </w:r>
      <w:r w:rsidR="00726C10" w:rsidRPr="001177AF">
        <w:rPr>
          <w:noProof/>
          <w:lang w:val="en-GB"/>
        </w:rPr>
        <w:t>(25)</w:t>
      </w:r>
      <w:r w:rsidRPr="001177AF">
        <w:rPr>
          <w:lang w:val="en-GB"/>
        </w:rPr>
        <w:fldChar w:fldCharType="end"/>
      </w:r>
      <w:r w:rsidRPr="001177AF">
        <w:rPr>
          <w:lang w:val="en-GB"/>
        </w:rPr>
        <w:t xml:space="preserve">, whereas </w:t>
      </w:r>
      <w:r w:rsidRPr="001177AF">
        <w:rPr>
          <w:color w:val="000000"/>
          <w:lang w:val="en-GB"/>
        </w:rPr>
        <w:t xml:space="preserve">the prodromal stage of the disease is often </w:t>
      </w:r>
      <w:r w:rsidR="005D54DC" w:rsidRPr="001177AF">
        <w:rPr>
          <w:color w:val="000000"/>
          <w:lang w:val="en-GB"/>
        </w:rPr>
        <w:t>characterised</w:t>
      </w:r>
      <w:r w:rsidRPr="001177AF">
        <w:rPr>
          <w:color w:val="000000"/>
          <w:lang w:val="en-GB"/>
        </w:rPr>
        <w:t xml:space="preserve"> by non-motor symptoms which may precede the appearance of characteristic motor symptoms by several years </w:t>
      </w:r>
      <w:r w:rsidRPr="001177AF">
        <w:rPr>
          <w:color w:val="000000"/>
          <w:lang w:val="en-GB"/>
        </w:rPr>
        <w:fldChar w:fldCharType="begin"/>
      </w:r>
      <w:r w:rsidR="00726C10" w:rsidRPr="001177AF">
        <w:rPr>
          <w:color w:val="000000"/>
          <w:lang w:val="en-GB"/>
        </w:rPr>
        <w:instrText>ADDIN F1000_CSL_CITATION&lt;~#@#~&gt;[{"DOI":"10.1038/nm.2165","First":false,"Last":false,"PMID":"20495568","abstract":"Parkinson's disease is a neurodegenerative process characterized by numerous motor and nonmotor clinical manifestations for which effective, mechanism-based treatments remain elusive. Here we discuss a series of critical issues that we think researchers need to address to stand a better chance of solving the different challenges posed by this pathology.","author":[{"family":"Obeso","given":"Jose A"},{"family":"Rodriguez-Oroz","given":"Maria C"},{"family":"Goetz","given":"Christopher G"},{"family":"Marin","given":"Concepcion"},{"family":"Kordower","given":"Jeffrey H"},{"family":"Rodriguez","given":"Manuel"},{"family":"Hirsch","given":"Etienne C"},{"family":"Farrer","given":"Matthew"},{"family":"Schapira","given":"Anthony H V"},{"family":"Halliday","given":"Glenda"}],"authorYearDisplayFormat":false,"citation-label":"1663","container-title":"Nature Medicine","container-title-short":"Nat. Med.","id":"1663","invisible":false,"issue":"6","issued":{"date-parts":[["2010","6"]]},"journalAbbreviation":"Nat. Med.","page":"653-661","suppress-author":false,"title":"Missing pieces in the Parkinson's disease puzzle.","type":"article-journal","volume":"16"}]</w:instrText>
      </w:r>
      <w:r w:rsidRPr="001177AF">
        <w:rPr>
          <w:color w:val="000000"/>
          <w:lang w:val="en-GB"/>
        </w:rPr>
        <w:fldChar w:fldCharType="separate"/>
      </w:r>
      <w:r w:rsidR="00726C10" w:rsidRPr="001177AF">
        <w:rPr>
          <w:noProof/>
          <w:color w:val="000000"/>
          <w:lang w:val="en-GB"/>
        </w:rPr>
        <w:t>(21)</w:t>
      </w:r>
      <w:r w:rsidRPr="001177AF">
        <w:rPr>
          <w:color w:val="000000"/>
          <w:lang w:val="en-GB"/>
        </w:rPr>
        <w:fldChar w:fldCharType="end"/>
      </w:r>
      <w:r w:rsidRPr="001177AF">
        <w:rPr>
          <w:color w:val="000000"/>
          <w:lang w:val="en-GB"/>
        </w:rPr>
        <w:t>.</w:t>
      </w:r>
    </w:p>
    <w:p w14:paraId="6AB96C8F" w14:textId="25910D69" w:rsidR="00D83AE5" w:rsidRPr="001177AF" w:rsidRDefault="00C341A0" w:rsidP="00D8036E">
      <w:pPr>
        <w:spacing w:line="360" w:lineRule="auto"/>
        <w:jc w:val="both"/>
        <w:rPr>
          <w:color w:val="000000"/>
          <w:lang w:val="en-GB"/>
        </w:rPr>
      </w:pPr>
      <w:r w:rsidRPr="001177AF">
        <w:rPr>
          <w:color w:val="000000"/>
          <w:lang w:val="en-GB"/>
        </w:rPr>
        <w:t xml:space="preserve">The exact </w:t>
      </w:r>
      <w:r w:rsidR="00DE45E0" w:rsidRPr="001177AF">
        <w:rPr>
          <w:color w:val="000000"/>
          <w:lang w:val="en-GB"/>
        </w:rPr>
        <w:t>aetiology</w:t>
      </w:r>
      <w:r w:rsidRPr="001177AF">
        <w:rPr>
          <w:color w:val="000000"/>
          <w:lang w:val="en-GB"/>
        </w:rPr>
        <w:t xml:space="preserve"> of PD is </w:t>
      </w:r>
      <w:r w:rsidR="00247B41" w:rsidRPr="001177AF">
        <w:rPr>
          <w:color w:val="000000"/>
          <w:lang w:val="en-GB"/>
        </w:rPr>
        <w:t>unknown</w:t>
      </w:r>
      <w:r w:rsidRPr="001177AF">
        <w:rPr>
          <w:color w:val="000000"/>
          <w:lang w:val="en-GB"/>
        </w:rPr>
        <w:t xml:space="preserve"> </w:t>
      </w:r>
      <w:r w:rsidR="00F7009E" w:rsidRPr="001177AF">
        <w:rPr>
          <w:color w:val="000000"/>
          <w:lang w:val="en-GB"/>
        </w:rPr>
        <w:t>to</w:t>
      </w:r>
      <w:r w:rsidRPr="001177AF">
        <w:rPr>
          <w:color w:val="000000"/>
          <w:lang w:val="en-GB"/>
        </w:rPr>
        <w:t xml:space="preserve"> date, but </w:t>
      </w:r>
      <w:r w:rsidR="00247B41" w:rsidRPr="001177AF">
        <w:rPr>
          <w:color w:val="000000"/>
          <w:lang w:val="en-GB"/>
        </w:rPr>
        <w:t>several</w:t>
      </w:r>
      <w:r w:rsidRPr="001177AF">
        <w:rPr>
          <w:color w:val="000000"/>
          <w:lang w:val="en-GB"/>
        </w:rPr>
        <w:t xml:space="preserve"> genetic risk factors have now been </w:t>
      </w:r>
      <w:r w:rsidR="005D54DC" w:rsidRPr="001177AF">
        <w:rPr>
          <w:color w:val="000000"/>
          <w:lang w:val="en-GB"/>
        </w:rPr>
        <w:t>characterised</w:t>
      </w:r>
      <w:r w:rsidRPr="001177AF">
        <w:rPr>
          <w:color w:val="000000"/>
          <w:lang w:val="en-GB"/>
        </w:rPr>
        <w:t xml:space="preserve">, which </w:t>
      </w:r>
      <w:r w:rsidR="00EA6181" w:rsidRPr="001177AF">
        <w:rPr>
          <w:color w:val="000000"/>
          <w:lang w:val="en-GB"/>
        </w:rPr>
        <w:t>cause</w:t>
      </w:r>
      <w:r w:rsidRPr="001177AF">
        <w:rPr>
          <w:color w:val="000000"/>
          <w:lang w:val="en-GB"/>
        </w:rPr>
        <w:t xml:space="preserve"> </w:t>
      </w:r>
      <w:r w:rsidR="00F7009E" w:rsidRPr="001177AF">
        <w:rPr>
          <w:color w:val="000000"/>
          <w:lang w:val="en-GB"/>
        </w:rPr>
        <w:t xml:space="preserve">a </w:t>
      </w:r>
      <w:r w:rsidRPr="001177AF">
        <w:rPr>
          <w:color w:val="000000"/>
          <w:lang w:val="en-GB"/>
        </w:rPr>
        <w:t>rare familial form of PD</w:t>
      </w:r>
      <w:r w:rsidR="005C127D"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F1000_CSL_CITATION&lt;~#@#~&gt;[{"DOI":"10.1002/mds.21676","First":false,"Last":false,"PMID":"18175395","abstract":"Over the last few years, several genes for monogenic forms of Parkinson's disease (PD) have been mapped and/or cloned. Mutations have been identified in the gene for alpha-synuclein in rare families with dominant PD, indicating that aggregation of this protein in Lewy bodies is probably a crucial step in the molecular pathogenesis of the disorder. A much more common cause for dominant PD, mutations in the gene for leucine-rich repeat kinase 2 (LRRK2), has recently been identified. Mutations in the parkin gene, in DJ-1 and PINK1 all cause autosomal recessive parkinsonism of early onset. These genes have been implicated in the proteasomal protein degradation pathway, in the oxidative stress response and mitochondrial function. Mutations in recessive genes probably are pathogenic through loss-of-function mechanisms, suggesting that their wildtype products protect dopaminergic cells against a variety of insults. Evidence is emerging that at least some of these genes may play a direct role in the etiology of the common sporadic form of PD. Further, it is likely that the cellular pathways identified in rare monogenic variants of the disease also shed light on the molecular pathogenesis in typical sporadic PD.","author":[{"family":"Gasser","given":"Thomas"}],"authorYearDisplayFormat":false,"citation-label":"11013815","container-title":"Movement Disorders","container-title-short":"Mov. Disord.","id":"11013815","invisible":false,"issued":{"date-parts":[["2007","9"]]},"journalAbbreviation":"Mov. Disord.","page":"S343-50","suppress-author":false,"title":"Update on the genetics of Parkinson's disease.","type":"article-journal","volume":"22 Suppl 17"}]</w:instrText>
      </w:r>
      <w:r w:rsidR="006E211D" w:rsidRPr="001177AF">
        <w:rPr>
          <w:color w:val="000000"/>
          <w:lang w:val="en-GB"/>
        </w:rPr>
        <w:fldChar w:fldCharType="separate"/>
      </w:r>
      <w:r w:rsidR="00726C10" w:rsidRPr="001177AF">
        <w:rPr>
          <w:noProof/>
          <w:color w:val="000000"/>
          <w:lang w:val="en-GB"/>
        </w:rPr>
        <w:t>(26)</w:t>
      </w:r>
      <w:r w:rsidR="006E211D" w:rsidRPr="001177AF">
        <w:rPr>
          <w:color w:val="000000"/>
          <w:lang w:val="en-GB"/>
        </w:rPr>
        <w:fldChar w:fldCharType="end"/>
      </w:r>
      <w:r w:rsidRPr="001177AF">
        <w:rPr>
          <w:color w:val="000000"/>
          <w:lang w:val="en-GB"/>
        </w:rPr>
        <w:t>. There is also some evidence that environmental factors (</w:t>
      </w:r>
      <w:r w:rsidR="00743B38" w:rsidRPr="001177AF">
        <w:rPr>
          <w:color w:val="000000"/>
          <w:lang w:val="en-GB"/>
        </w:rPr>
        <w:t>i.e.</w:t>
      </w:r>
      <w:r w:rsidR="00EA6181" w:rsidRPr="001177AF">
        <w:rPr>
          <w:color w:val="000000"/>
          <w:lang w:val="en-GB"/>
        </w:rPr>
        <w:t>,</w:t>
      </w:r>
      <w:r w:rsidRPr="001177AF">
        <w:rPr>
          <w:color w:val="000000"/>
          <w:lang w:val="en-GB"/>
        </w:rPr>
        <w:t xml:space="preserve"> viruses and bacteria, toxic </w:t>
      </w:r>
      <w:r w:rsidR="00F7009E" w:rsidRPr="001177AF">
        <w:rPr>
          <w:color w:val="000000"/>
          <w:lang w:val="en-GB"/>
        </w:rPr>
        <w:t>chemicals</w:t>
      </w:r>
      <w:r w:rsidRPr="001177AF">
        <w:rPr>
          <w:color w:val="000000"/>
          <w:lang w:val="en-GB"/>
        </w:rPr>
        <w:t xml:space="preserve">, heavy </w:t>
      </w:r>
      <w:r w:rsidR="00F7009E" w:rsidRPr="001177AF">
        <w:rPr>
          <w:color w:val="000000"/>
          <w:lang w:val="en-GB"/>
        </w:rPr>
        <w:t>metals</w:t>
      </w:r>
      <w:r w:rsidR="00684BB5" w:rsidRPr="001177AF">
        <w:rPr>
          <w:color w:val="000000"/>
          <w:lang w:val="en-GB"/>
        </w:rPr>
        <w:t>,</w:t>
      </w:r>
      <w:r w:rsidR="00EA6181" w:rsidRPr="001177AF">
        <w:rPr>
          <w:color w:val="000000"/>
          <w:lang w:val="en-GB"/>
        </w:rPr>
        <w:t xml:space="preserve"> </w:t>
      </w:r>
      <w:r w:rsidRPr="001177AF">
        <w:rPr>
          <w:color w:val="000000"/>
          <w:lang w:val="en-GB"/>
        </w:rPr>
        <w:t xml:space="preserve">and free radicals) may cause </w:t>
      </w:r>
      <w:r w:rsidR="003E2EE2" w:rsidRPr="001177AF">
        <w:rPr>
          <w:color w:val="000000"/>
          <w:lang w:val="en-GB"/>
        </w:rPr>
        <w:t xml:space="preserve">the </w:t>
      </w:r>
      <w:r w:rsidRPr="001177AF">
        <w:rPr>
          <w:color w:val="000000"/>
          <w:lang w:val="en-GB"/>
        </w:rPr>
        <w:t>deterioration of dopamine-producing neurons, leading to the development of PD,</w:t>
      </w:r>
      <w:r w:rsidR="00EA6181" w:rsidRPr="001177AF">
        <w:rPr>
          <w:color w:val="000000"/>
          <w:lang w:val="en-GB"/>
        </w:rPr>
        <w:t xml:space="preserve"> </w:t>
      </w:r>
      <w:r w:rsidRPr="001177AF">
        <w:rPr>
          <w:color w:val="000000"/>
          <w:lang w:val="en-GB"/>
        </w:rPr>
        <w:t>although the role of these remains unclear</w:t>
      </w:r>
      <w:r w:rsidR="000650BA"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F1000_CSL_CITATION&lt;~#@#~&gt;[{"DOI":"10.1093/ageing/afp223","First":false,"Last":false,"PMID":"20051606","abstract":"Age is the largest risk factor for the development and progression of Parkinson's disease (PD). Ageing affects many cellular processes that predispose to neurodegeneration, and age-related changes in cellular function predispose to the pathogenesis of PD. The accumulation of age-related somatic damage combined with a failure of compensatory mechanisms may lead to an acceleration of PD with age. The formation of Lewy bodies may represent a marker for protective mechanisms against age-related dysfunction and degeneration of the nervous system. Mild parkinsonian signs may be present in older people, which are associated with reduced function. These may be due to age-related decline in dopaminergic activity, incidental Lewy body disease, degenerative pathologies (early PD and Alzheimer's disease) or vascular pathology. Ageing may affect the clinical presentation of PD with altered drug side effects, increased risk of developing dementia and an increased likelihood of admission to a nursing home. Progression of PD, including the development of dementia, and hallucinations is related to the age of the patient rather than the age of disease onset. PD may reflect a failure of the normal cellular compensatory mechanisms in vulnerable brain regions, and this vulnerability is increased by ageing. PD is one of the best examples of an age-related disease.","author":[{"family":"Hindle","given":"John V"}],"authorYearDisplayFormat":false,"citation-label":"1414730","container-title":"Age and Ageing","container-title-short":"Age Ageing","id":"1414730","invisible":false,"issue":"2","issued":{"date-parts":[["2010","3"]]},"journalAbbreviation":"Age Ageing","page":"156-161","suppress-author":false,"title":"Ageing, neurodegeneration and Parkinson's disease.","type":"article-journal","volume":"39"}]</w:instrText>
      </w:r>
      <w:r w:rsidR="006E211D" w:rsidRPr="001177AF">
        <w:rPr>
          <w:color w:val="000000"/>
          <w:lang w:val="en-GB"/>
        </w:rPr>
        <w:fldChar w:fldCharType="separate"/>
      </w:r>
      <w:r w:rsidR="00726C10" w:rsidRPr="001177AF">
        <w:rPr>
          <w:noProof/>
          <w:color w:val="000000"/>
          <w:lang w:val="en-GB"/>
        </w:rPr>
        <w:t>(27)</w:t>
      </w:r>
      <w:r w:rsidR="006E211D" w:rsidRPr="001177AF">
        <w:rPr>
          <w:color w:val="000000"/>
          <w:lang w:val="en-GB"/>
        </w:rPr>
        <w:fldChar w:fldCharType="end"/>
      </w:r>
      <w:r w:rsidRPr="001177AF">
        <w:rPr>
          <w:color w:val="000000"/>
          <w:lang w:val="en-GB"/>
        </w:rPr>
        <w:t>.</w:t>
      </w:r>
      <w:r w:rsidR="00740C1B" w:rsidRPr="001177AF">
        <w:rPr>
          <w:color w:val="000000"/>
          <w:lang w:val="en-GB"/>
        </w:rPr>
        <w:t xml:space="preserve"> </w:t>
      </w:r>
      <w:r w:rsidR="007C48E8" w:rsidRPr="001177AF">
        <w:rPr>
          <w:color w:val="000000"/>
          <w:lang w:val="en-GB"/>
        </w:rPr>
        <w:t xml:space="preserve">Furthermore, recent studies suggest that viral or chemical exposure may cause inflammation in </w:t>
      </w:r>
      <w:r w:rsidR="006A6868" w:rsidRPr="001177AF">
        <w:rPr>
          <w:color w:val="000000"/>
          <w:lang w:val="en-GB"/>
        </w:rPr>
        <w:t xml:space="preserve">the </w:t>
      </w:r>
      <w:r w:rsidR="007C48E8" w:rsidRPr="001177AF">
        <w:rPr>
          <w:color w:val="000000"/>
          <w:lang w:val="en-GB"/>
        </w:rPr>
        <w:t xml:space="preserve">olfactory system and gut </w:t>
      </w:r>
      <w:r w:rsidR="00740C1B" w:rsidRPr="001177AF">
        <w:rPr>
          <w:color w:val="000000"/>
          <w:lang w:val="en-GB"/>
        </w:rPr>
        <w:t>leading</w:t>
      </w:r>
      <w:r w:rsidR="007C48E8" w:rsidRPr="001177AF">
        <w:rPr>
          <w:color w:val="000000"/>
          <w:lang w:val="en-GB"/>
        </w:rPr>
        <w:t xml:space="preserve"> to the initial α-synuclein misfolding, aggregation, and propagation to the brain </w:t>
      </w:r>
      <w:r w:rsidR="005179DF" w:rsidRPr="001177AF">
        <w:rPr>
          <w:color w:val="000000"/>
          <w:lang w:val="en-GB"/>
        </w:rPr>
        <w:fldChar w:fldCharType="begin"/>
      </w:r>
      <w:r w:rsidR="00726C10" w:rsidRPr="001177AF">
        <w:rPr>
          <w:color w:val="000000"/>
          <w:lang w:val="en-GB"/>
        </w:rPr>
        <w:instrText>ADDIN F1000_CSL_CITATION&lt;~#@#~&gt;[{"DOI":"10.1007/s12035-012-8267-8","First":false,"Last":false,"PMCID":"PMC3589652","PMID":"22544647","abstract":"Parkinson's disease patients exhibit progressive spreading of aggregated α-synuclein in the nervous system. This slow process follows a specific pattern in an inflamed tissue environment. Recent research suggests that prion-like mechanisms contribute to the propagation of α-synuclein pathology. Little is known about factors that might affect the prion-like behavior of misfolded α-synuclein. In this review, we suggest that neuroinflammation plays an important role. We discuss causes of inflammation in the olfactory bulb and gastrointestinal tract and how this may promote the initial misfolding and aggregation of α-synuclein, which might set in motion events that lead to Parkinson's disease neuropathology. We propose that neuroinflammation promotes the prion-like behavior of α-synuclein and that novel anti-inflammatory therapies targeting this mechanism could slow disease progression.","author":[{"family":"Lema Tomé","given":"Carla M"},{"family":"Tyson","given":"Trevor"},{"family":"Rey","given":"Nolwen L"},{"family":"Grathwohl","given":"Stefan"},{"family":"Britschgi","given":"Markus"},{"family":"Brundin","given":"Patrik"}],"authorYearDisplayFormat":false,"citation-label":"4562871","container-title":"Molecular Neurobiology","container-title-short":"Mol. Neurobiol.","id":"4562871","invisible":false,"issue":"2","issued":{"date-parts":[["2013","4"]]},"journalAbbreviation":"Mol. Neurobiol.","page":"561-574","suppress-author":false,"title":"Inflammation and α-synuclein's prion-like behavior in Parkinson's disease--is there a link?","type":"article-journal","volume":"47"}]</w:instrText>
      </w:r>
      <w:r w:rsidR="005179DF" w:rsidRPr="001177AF">
        <w:rPr>
          <w:color w:val="000000"/>
          <w:lang w:val="en-GB"/>
        </w:rPr>
        <w:fldChar w:fldCharType="separate"/>
      </w:r>
      <w:r w:rsidR="00726C10" w:rsidRPr="001177AF">
        <w:rPr>
          <w:noProof/>
          <w:color w:val="000000"/>
          <w:lang w:val="en-GB"/>
        </w:rPr>
        <w:t>(28)</w:t>
      </w:r>
      <w:r w:rsidR="005179DF" w:rsidRPr="001177AF">
        <w:rPr>
          <w:color w:val="000000"/>
          <w:lang w:val="en-GB"/>
        </w:rPr>
        <w:fldChar w:fldCharType="end"/>
      </w:r>
      <w:r w:rsidR="007D5D81" w:rsidRPr="001177AF">
        <w:rPr>
          <w:color w:val="000000"/>
          <w:lang w:val="en-GB"/>
        </w:rPr>
        <w:t xml:space="preserve">. </w:t>
      </w:r>
    </w:p>
    <w:p w14:paraId="60629C2A" w14:textId="15C650C1" w:rsidR="006A6868" w:rsidRPr="001177AF" w:rsidRDefault="00740C1B" w:rsidP="00740C1B">
      <w:pPr>
        <w:spacing w:line="360" w:lineRule="auto"/>
        <w:jc w:val="both"/>
        <w:rPr>
          <w:color w:val="000000"/>
          <w:lang w:val="en-GB"/>
        </w:rPr>
      </w:pPr>
      <w:r w:rsidRPr="001177AF">
        <w:rPr>
          <w:color w:val="000000"/>
          <w:lang w:val="en-GB"/>
        </w:rPr>
        <w:t>Treatment of PD predominantly focuses on symptomatic relief with drugs aiming to either restore the level of dopamine in the striatum or to act on dopamine receptors</w:t>
      </w:r>
      <w:r w:rsidR="00D25D29" w:rsidRPr="001177AF">
        <w:rPr>
          <w:color w:val="000000"/>
          <w:lang w:val="en-GB"/>
        </w:rPr>
        <w:t xml:space="preserve"> </w:t>
      </w:r>
      <w:r w:rsidR="006E211D" w:rsidRPr="001177AF">
        <w:rPr>
          <w:color w:val="000000"/>
          <w:lang w:val="en-GB"/>
        </w:rPr>
        <w:fldChar w:fldCharType="begin"/>
      </w:r>
      <w:r w:rsidR="00726C10" w:rsidRPr="001177AF">
        <w:rPr>
          <w:color w:val="000000"/>
          <w:lang w:val="en-GB"/>
        </w:rPr>
        <w:instrText>ADDIN F1000_CSL_CITATION&lt;~#@#~&gt;[{"DOI":"10.1007/s12272-021-01337-3","First":false,"Last":false,"PMCID":"PMC8254697","PMID":"34145553","abstract":"Parkinson's disease (PD) is a progressive neurodegenerative disease characterized by movement dysfunction due to selective degeneration of dopaminergic neurons in the substantia nigra pars compacta. Non-motor symptoms of PD (e.g., sensory dysfunction, sleep disturbance, constipation, neuropsychiatric symptoms) precede motor symptoms, appear at all stages, and impact the quality of life, but they frequently go unrecognized and remain untreated. Even when identified, traditional dopamine replacement therapies have little effect. We discuss here the pathology of two PD-associated non-motor symptoms: olfactory dysfunction and depression. Olfactory dysfunction is one of the earliest non-motor symptoms in PD and predates the onset of motor symptoms. It is accompanied by early deposition of Lewy pathology and neurotransmitter alterations. Because of the correlation between olfactory dysfunction and an increased risk of progression to PD, olfactory testing can potentially be a specific diagnostic marker of PD in the prodromal stage. Depression is a prevalent PD-associated symptom and is often associated with reduced quality of life. Although the pathophysiology of depression in PD is unclear, studies suggest a causal relationship with abnormal neurotransmission and abnormal adult neurogenesis. Here, we summarize recent progress in the pathology of the non-motor symptoms of PD, aiming to provide better guidance for its effective management.","author":[{"family":"Bang","given":"Yeojin"},{"family":"Lim","given":"Juhee"},{"family":"Choi","given":"Hyun Jin"}],"authorYearDisplayFormat":false,"citation-label":"13560913","container-title":"Archives of Pharmacal Research","container-title-short":"Arch. Pharm. Res.","id":"13560913","invisible":false,"issue":"6","issued":{"date-parts":[["2021","6","19"]]},"journalAbbreviation":"Arch. Pharm. Res.","page":"588-604","suppress-author":false,"title":"Recent advances in the pathology of prodromal non-motor symptoms olfactory deficit and depression in Parkinson's disease: clues to early diagnosis and effective treatment.","type":"article-journal","volume":"44"},{"DOI":"10.1007/s00281-022-00947-3","First":false,"Last":false,"PMCID":"PMC9519672","PMID":"35674826","abstract":"Parkinson's disease (PD) is the second most common neurodegenerative disorder which affects 6.1 million people worldwide. The neuropathological hallmarks include the loss of dopaminergic neurons in the substantia nigra, the presence of Lewy bodies and Lewy neurites caused by α-synuclein aggregation, and neuroinflammation in the brain. The prodromal phase happens years before the onset of PD during which time many patients show gastro-intestinal symptoms. These symptoms are in support of Braak's theory and model where pathological α-synuclein propagates from the gut to the brain. Importantly, immune responses play a determinant role in the pathogenesis of Parkinson's disease. The innate immune responses triggered by microglia can cause neuronal death and disease progression. In addition, T cells infiltrate into the brains of PD patients and become involved in the adaptive immune responses. Interestingly, α-synuclein is associated with both innate and adaptive immune responses by directly interacting with microglia and T cells. Here, we give a detailed review of the immunobiology of Parkinson's disease, focusing on the role α-synuclein in the gut-brain axis hypothesis, the innate and adaptive immune responses involved in the disease, and current treatments.&lt;br&gt;&lt;br&gt;© 2022. The Author(s).","author":[{"family":"Zhu","given":"Biqing"},{"family":"Yin","given":"Dominic"},{"family":"Zhao","given":"Hongyu"},{"family":"Zhang","given":"Le"}],"authorYearDisplayFormat":false,"citation-label":"13376728","container-title":"Seminars in immunopathology","container-title-short":"Semin. Immunopathol.","id":"13376728","invisible":false,"issued":{"date-parts":[["2022","6","8"]]},"journalAbbreviation":"Semin. Immunopathol.","suppress-author":false,"title":"The immunology of Parkinson's disease.","type":"article-journal"}]</w:instrText>
      </w:r>
      <w:r w:rsidR="006E211D" w:rsidRPr="001177AF">
        <w:rPr>
          <w:color w:val="000000"/>
          <w:lang w:val="en-GB"/>
        </w:rPr>
        <w:fldChar w:fldCharType="separate"/>
      </w:r>
      <w:r w:rsidR="00726C10" w:rsidRPr="001177AF">
        <w:rPr>
          <w:noProof/>
          <w:color w:val="000000"/>
          <w:lang w:val="en-GB"/>
        </w:rPr>
        <w:t>(19,20)</w:t>
      </w:r>
      <w:r w:rsidR="006E211D" w:rsidRPr="001177AF">
        <w:rPr>
          <w:color w:val="000000"/>
          <w:lang w:val="en-GB"/>
        </w:rPr>
        <w:fldChar w:fldCharType="end"/>
      </w:r>
      <w:r w:rsidRPr="001177AF">
        <w:rPr>
          <w:color w:val="000000"/>
          <w:lang w:val="en-GB"/>
        </w:rPr>
        <w:t>.</w:t>
      </w:r>
      <w:r w:rsidR="00EA6181" w:rsidRPr="001177AF">
        <w:rPr>
          <w:lang w:val="en-GB"/>
        </w:rPr>
        <w:t xml:space="preserve"> </w:t>
      </w:r>
      <w:r w:rsidR="00160D71" w:rsidRPr="001177AF">
        <w:rPr>
          <w:color w:val="000000"/>
          <w:lang w:val="en-GB"/>
        </w:rPr>
        <w:t>Although</w:t>
      </w:r>
      <w:r w:rsidR="00247B41" w:rsidRPr="001177AF">
        <w:rPr>
          <w:color w:val="000000"/>
          <w:lang w:val="en-GB"/>
        </w:rPr>
        <w:t xml:space="preserve"> </w:t>
      </w:r>
      <w:r w:rsidR="00EA6181" w:rsidRPr="001177AF">
        <w:rPr>
          <w:color w:val="000000"/>
          <w:lang w:val="en-GB"/>
        </w:rPr>
        <w:t>many other drugs are also being used to target specific symptoms</w:t>
      </w:r>
      <w:r w:rsidRPr="001177AF">
        <w:rPr>
          <w:color w:val="000000"/>
          <w:lang w:val="en-GB"/>
        </w:rPr>
        <w:t>,</w:t>
      </w:r>
      <w:r w:rsidR="00EA6181" w:rsidRPr="001177AF">
        <w:rPr>
          <w:color w:val="000000"/>
          <w:lang w:val="en-GB"/>
        </w:rPr>
        <w:t xml:space="preserve"> </w:t>
      </w:r>
      <w:r w:rsidRPr="001177AF">
        <w:rPr>
          <w:color w:val="000000"/>
          <w:lang w:val="en-GB"/>
        </w:rPr>
        <w:t>t</w:t>
      </w:r>
      <w:r w:rsidR="007D032B" w:rsidRPr="001177AF">
        <w:rPr>
          <w:color w:val="000000"/>
          <w:lang w:val="en-GB"/>
        </w:rPr>
        <w:t>he non-motor sym</w:t>
      </w:r>
      <w:r w:rsidR="004778C5" w:rsidRPr="001177AF">
        <w:rPr>
          <w:color w:val="000000"/>
          <w:lang w:val="en-GB"/>
        </w:rPr>
        <w:t>ptoms of PD</w:t>
      </w:r>
      <w:r w:rsidR="00EA6181" w:rsidRPr="001177AF">
        <w:rPr>
          <w:color w:val="000000"/>
          <w:lang w:val="en-GB"/>
        </w:rPr>
        <w:t xml:space="preserve"> </w:t>
      </w:r>
      <w:r w:rsidR="00B000A2" w:rsidRPr="001177AF">
        <w:rPr>
          <w:color w:val="000000"/>
          <w:lang w:val="en-GB"/>
        </w:rPr>
        <w:t xml:space="preserve">often go </w:t>
      </w:r>
      <w:r w:rsidR="005D54DC" w:rsidRPr="001177AF">
        <w:rPr>
          <w:color w:val="000000"/>
          <w:lang w:val="en-GB"/>
        </w:rPr>
        <w:t>unrecognised</w:t>
      </w:r>
      <w:r w:rsidR="00B000A2" w:rsidRPr="001177AF">
        <w:rPr>
          <w:color w:val="000000"/>
          <w:lang w:val="en-GB"/>
        </w:rPr>
        <w:t xml:space="preserve"> and</w:t>
      </w:r>
      <w:r w:rsidR="004778C5" w:rsidRPr="001177AF">
        <w:rPr>
          <w:color w:val="000000"/>
          <w:lang w:val="en-GB"/>
        </w:rPr>
        <w:t xml:space="preserve"> therapeutic management of these symptoms remains challenging, </w:t>
      </w:r>
      <w:r w:rsidR="00247B41" w:rsidRPr="001177AF">
        <w:rPr>
          <w:color w:val="000000"/>
          <w:lang w:val="en-GB"/>
        </w:rPr>
        <w:t>negatively impacting patients' quality of life</w:t>
      </w:r>
      <w:r w:rsidR="004778C5" w:rsidRPr="001177AF">
        <w:rPr>
          <w:color w:val="000000"/>
          <w:lang w:val="en-GB"/>
        </w:rPr>
        <w:t xml:space="preserve"> </w:t>
      </w:r>
      <w:r w:rsidR="004778C5" w:rsidRPr="001177AF">
        <w:rPr>
          <w:color w:val="000000"/>
          <w:lang w:val="en-GB"/>
        </w:rPr>
        <w:fldChar w:fldCharType="begin"/>
      </w:r>
      <w:r w:rsidR="00726C10" w:rsidRPr="001177AF">
        <w:rPr>
          <w:color w:val="000000"/>
          <w:lang w:val="en-GB"/>
        </w:rPr>
        <w:instrText>ADDIN F1000_CSL_CITATION&lt;~#@#~&gt;[{"DOI":"10.1007/s12272-021-01337-3","First":false,"Last":false,"PMCID":"PMC8254697","PMID":"34145553","abstract":"Parkinson's disease (PD) is a progressive neurodegenerative disease characterized by movement dysfunction due to selective degeneration of dopaminergic neurons in the substantia nigra pars compacta. Non-motor symptoms of PD (e.g., sensory dysfunction, sleep disturbance, constipation, neuropsychiatric symptoms) precede motor symptoms, appear at all stages, and impact the quality of life, but they frequently go unrecognized and remain untreated. Even when identified, traditional dopamine replacement therapies have little effect. We discuss here the pathology of two PD-associated non-motor symptoms: olfactory dysfunction and depression. Olfactory dysfunction is one of the earliest non-motor symptoms in PD and predates the onset of motor symptoms. It is accompanied by early deposition of Lewy pathology and neurotransmitter alterations. Because of the correlation between olfactory dysfunction and an increased risk of progression to PD, olfactory testing can potentially be a specific diagnostic marker of PD in the prodromal stage. Depression is a prevalent PD-associated symptom and is often associated with reduced quality of life. Although the pathophysiology of depression in PD is unclear, studies suggest a causal relationship with abnormal neurotransmission and abnormal adult neurogenesis. Here, we summarize recent progress in the pathology of the non-motor symptoms of PD, aiming to provide better guidance for its effective management.","author":[{"family":"Bang","given":"Yeojin"},{"family":"Lim","given":"Juhee"},{"family":"Choi","given":"Hyun Jin"}],"authorYearDisplayFormat":false,"citation-label":"13560913","container-title":"Archives of Pharmacal Research","container-title-short":"Arch. Pharm. Res.","id":"13560913","invisible":false,"issue":"6","issued":{"date-parts":[["2021","6","19"]]},"journalAbbreviation":"Arch. Pharm. Res.","page":"588-604","suppress-author":false,"title":"Recent advances in the pathology of prodromal non-motor symptoms olfactory deficit and depression in Parkinson's disease: clues to early diagnosis and effective treatment.","type":"article-journal","volume":"44"}]</w:instrText>
      </w:r>
      <w:r w:rsidR="004778C5" w:rsidRPr="001177AF">
        <w:rPr>
          <w:color w:val="000000"/>
          <w:lang w:val="en-GB"/>
        </w:rPr>
        <w:fldChar w:fldCharType="separate"/>
      </w:r>
      <w:r w:rsidR="00726C10" w:rsidRPr="001177AF">
        <w:rPr>
          <w:noProof/>
          <w:color w:val="000000"/>
          <w:lang w:val="en-GB"/>
        </w:rPr>
        <w:t>(19)</w:t>
      </w:r>
      <w:r w:rsidR="004778C5" w:rsidRPr="001177AF">
        <w:rPr>
          <w:color w:val="000000"/>
          <w:lang w:val="en-GB"/>
        </w:rPr>
        <w:fldChar w:fldCharType="end"/>
      </w:r>
      <w:r w:rsidR="00B000A2" w:rsidRPr="001177AF">
        <w:rPr>
          <w:color w:val="000000"/>
          <w:lang w:val="en-GB"/>
        </w:rPr>
        <w:t>.</w:t>
      </w:r>
      <w:r w:rsidR="00A34A06" w:rsidRPr="001177AF">
        <w:rPr>
          <w:color w:val="000000"/>
          <w:lang w:val="en-GB"/>
        </w:rPr>
        <w:t xml:space="preserve"> </w:t>
      </w:r>
    </w:p>
    <w:p w14:paraId="72C5A5C0" w14:textId="7EA517C3" w:rsidR="00A905BA" w:rsidRPr="001177AF" w:rsidRDefault="00740C1B" w:rsidP="009E06E4">
      <w:pPr>
        <w:spacing w:line="360" w:lineRule="auto"/>
        <w:jc w:val="both"/>
        <w:rPr>
          <w:lang w:val="en-GB"/>
        </w:rPr>
      </w:pPr>
      <w:r w:rsidRPr="001177AF">
        <w:rPr>
          <w:color w:val="000000"/>
          <w:lang w:val="en-GB"/>
        </w:rPr>
        <w:t xml:space="preserve">Finally, PD is one of the </w:t>
      </w:r>
      <w:r w:rsidR="004E0CB0" w:rsidRPr="001177AF">
        <w:rPr>
          <w:color w:val="000000"/>
          <w:lang w:val="en-GB"/>
        </w:rPr>
        <w:t>world's</w:t>
      </w:r>
      <w:r w:rsidRPr="001177AF">
        <w:rPr>
          <w:color w:val="000000"/>
          <w:lang w:val="en-GB"/>
        </w:rPr>
        <w:t xml:space="preserve"> </w:t>
      </w:r>
      <w:r w:rsidR="00241C79" w:rsidRPr="001177AF">
        <w:rPr>
          <w:color w:val="000000"/>
          <w:lang w:val="en-GB"/>
        </w:rPr>
        <w:t>fastest-growing</w:t>
      </w:r>
      <w:r w:rsidRPr="001177AF">
        <w:rPr>
          <w:color w:val="000000"/>
          <w:lang w:val="en-GB"/>
        </w:rPr>
        <w:t xml:space="preserve"> neurological disorders,</w:t>
      </w:r>
      <w:r w:rsidR="007D5E32" w:rsidRPr="001177AF">
        <w:rPr>
          <w:color w:val="000000"/>
          <w:lang w:val="en-GB"/>
        </w:rPr>
        <w:t xml:space="preserve"> yet</w:t>
      </w:r>
      <w:r w:rsidRPr="001177AF">
        <w:rPr>
          <w:color w:val="000000"/>
          <w:lang w:val="en-GB"/>
        </w:rPr>
        <w:t xml:space="preserve"> much is unknown about its current global economic burden. </w:t>
      </w:r>
      <w:r w:rsidR="00247B41" w:rsidRPr="001177AF">
        <w:rPr>
          <w:color w:val="000000"/>
          <w:lang w:val="en-GB"/>
        </w:rPr>
        <w:t>The</w:t>
      </w:r>
      <w:r w:rsidRPr="001177AF">
        <w:rPr>
          <w:color w:val="000000"/>
          <w:lang w:val="en-GB"/>
        </w:rPr>
        <w:t xml:space="preserve"> direct and indirect burden of PD </w:t>
      </w:r>
      <w:r w:rsidR="00247B41" w:rsidRPr="001177AF">
        <w:rPr>
          <w:color w:val="000000"/>
          <w:lang w:val="en-GB"/>
        </w:rPr>
        <w:t>is estimated to</w:t>
      </w:r>
      <w:r w:rsidRPr="001177AF">
        <w:rPr>
          <w:color w:val="000000"/>
          <w:lang w:val="en-GB"/>
        </w:rPr>
        <w:t xml:space="preserve"> exceed $79 billion in the US by 2037 (for an estimated 1.6 million patients) </w:t>
      </w:r>
      <w:r w:rsidRPr="001177AF">
        <w:rPr>
          <w:color w:val="000000"/>
          <w:lang w:val="en-GB"/>
        </w:rPr>
        <w:fldChar w:fldCharType="begin"/>
      </w:r>
      <w:r w:rsidR="00726C10" w:rsidRPr="001177AF">
        <w:rPr>
          <w:color w:val="000000"/>
          <w:lang w:val="en-GB"/>
        </w:rPr>
        <w:instrText>ADDIN F1000_CSL_CITATION&lt;~#@#~&gt;[{"DOI":"10.1038/s41531-020-0117-1","First":false,"Last":false,"PMCID":"PMC7347582","PMID":"32665974","abstract":"Parkinson's disease (PD) is one of the world's fastest growing neurological disorders. Much is unknown about PD-associated economic burdens in the United States (U.S.) and other high-income nations. This study provides a comprehensive analysis of the economic burdens of PD in the U.S. (2017) and projections for the next two decades. Multiple data sources were used to estimate the costs of PD, including public and private administrative claims data, Medicare Current Beneficiary Survey, Medical Expenditure Panel Survey, and a primary survey (n = 4,548) designed for this study. We estimated a U.S. prevalence of approximately one million individuals with diagnosed Parkinson's disease in 2017 and a total economic burden of $51.9 billion. The total burden of PD includes direct medical costs of $25.4 billion and $26.5 billion in indirect and non-medical costs, including an indirect cost of $14.2 billion (PWP and caregiver burden combined), non-medical costs of $7.5 billion, and $4.8 billion due to disability income received by PWPs. The Medicare program bears the largest share of excess medical costs, as most PD patients are over age 65. Projected PD prevalence will be more than 1.6 million with projected total economic burden surpassing $79 billion by 2037. The economic burden of PD was previously underestimated. Our findings underscore the substantial burden of PD to society, payers, patients, and caregivers. Interventions to reduce PD incidence, delay disease progression, and alleviate symptom burden may reduce the future economic burden of PD.&lt;br&gt;&lt;br&gt;© The Author(s) 2020.","author":[{"family":"Yang","given":"Wenya"},{"family":"Hamilton","given":"Jamie L"},{"family":"Kopil","given":"Catherine"},{"family":"Beck","given":"James C"},{"family":"Tanner","given":"Caroline M"},{"family":"Albin","given":"Roger L"},{"family":"Ray Dorsey","given":"E"},{"family":"Dahodwala","given":"Nabila"},{"family":"Cintina","given":"Inna"},{"family":"Hogan","given":"Paul"},{"family":"Thompson","given":"Ted"}],"authorYearDisplayFormat":false,"citation-label":"9426264","container-title":"npj Parkinson's Disease","container-title-short":"npj Parkinsons Disease","id":"9426264","invisible":false,"issued":{"date-parts":[["2020","7","9"]]},"journalAbbreviation":"npj Parkinsons Disease","page":"15","suppress-author":false,"title":"Current and projected future economic burden of Parkinson's disease in the U.S.","type":"article-journal","volume":"6"}]</w:instrText>
      </w:r>
      <w:r w:rsidRPr="001177AF">
        <w:rPr>
          <w:color w:val="000000"/>
          <w:lang w:val="en-GB"/>
        </w:rPr>
        <w:fldChar w:fldCharType="separate"/>
      </w:r>
      <w:r w:rsidR="00726C10" w:rsidRPr="001177AF">
        <w:rPr>
          <w:noProof/>
          <w:color w:val="000000"/>
          <w:lang w:val="en-GB"/>
        </w:rPr>
        <w:t>(29)</w:t>
      </w:r>
      <w:r w:rsidRPr="001177AF">
        <w:rPr>
          <w:color w:val="000000"/>
          <w:lang w:val="en-GB"/>
        </w:rPr>
        <w:fldChar w:fldCharType="end"/>
      </w:r>
      <w:r w:rsidRPr="001177AF">
        <w:rPr>
          <w:color w:val="000000"/>
          <w:lang w:val="en-GB"/>
        </w:rPr>
        <w:t xml:space="preserve">. The prevalence of PD increases with age, which is considered the most significant risk factor for the development and progression of PD </w:t>
      </w:r>
      <w:r w:rsidRPr="001177AF">
        <w:rPr>
          <w:color w:val="000000"/>
          <w:lang w:val="en-GB"/>
        </w:rPr>
        <w:fldChar w:fldCharType="begin"/>
      </w:r>
      <w:r w:rsidR="00726C10" w:rsidRPr="001177AF">
        <w:rPr>
          <w:color w:val="000000"/>
          <w:lang w:val="en-GB"/>
        </w:rPr>
        <w:instrText>ADDIN F1000_CSL_CITATION&lt;~#@#~&gt;[{"DOI":"10.1093/ageing/afp223","First":false,"Last":false,"PMID":"20051606","abstract":"Age is the largest risk factor for the development and progression of Parkinson's disease (PD). Ageing affects many cellular processes that predispose to neurodegeneration, and age-related changes in cellular function predispose to the pathogenesis of PD. The accumulation of age-related somatic damage combined with a failure of compensatory mechanisms may lead to an acceleration of PD with age. The formation of Lewy bodies may represent a marker for protective mechanisms against age-related dysfunction and degeneration of the nervous system. Mild parkinsonian signs may be present in older people, which are associated with reduced function. These may be due to age-related decline in dopaminergic activity, incidental Lewy body disease, degenerative pathologies (early PD and Alzheimer's disease) or vascular pathology. Ageing may affect the clinical presentation of PD with altered drug side effects, increased risk of developing dementia and an increased likelihood of admission to a nursing home. Progression of PD, including the development of dementia, and hallucinations is related to the age of the patient rather than the age of disease onset. PD may reflect a failure of the normal cellular compensatory mechanisms in vulnerable brain regions, and this vulnerability is increased by ageing. PD is one of the best examples of an age-related disease.","author":[{"family":"Hindle","given":"John V"}],"authorYearDisplayFormat":false,"citation-label":"1414730","container-title":"Age and Ageing","container-title-short":"Age Ageing","id":"1414730","invisible":false,"issue":"2","issued":{"date-parts":[["2010","3"]]},"journalAbbreviation":"Age Ageing","page":"156-161","suppress-author":false,"title":"Ageing, neurodegeneration and Parkinson's disease.","type":"article-journal","volume":"39"}]</w:instrText>
      </w:r>
      <w:r w:rsidRPr="001177AF">
        <w:rPr>
          <w:color w:val="000000"/>
          <w:lang w:val="en-GB"/>
        </w:rPr>
        <w:fldChar w:fldCharType="separate"/>
      </w:r>
      <w:r w:rsidR="00726C10" w:rsidRPr="001177AF">
        <w:rPr>
          <w:noProof/>
          <w:color w:val="000000"/>
          <w:lang w:val="en-GB"/>
        </w:rPr>
        <w:t>(27)</w:t>
      </w:r>
      <w:r w:rsidRPr="001177AF">
        <w:rPr>
          <w:color w:val="000000"/>
          <w:lang w:val="en-GB"/>
        </w:rPr>
        <w:fldChar w:fldCharType="end"/>
      </w:r>
      <w:r w:rsidRPr="001177AF">
        <w:rPr>
          <w:color w:val="000000"/>
          <w:lang w:val="en-GB"/>
        </w:rPr>
        <w:t xml:space="preserve">. </w:t>
      </w:r>
      <w:r w:rsidR="007D5E32" w:rsidRPr="001177AF">
        <w:rPr>
          <w:color w:val="000000"/>
          <w:lang w:val="en-GB"/>
        </w:rPr>
        <w:t xml:space="preserve">This means </w:t>
      </w:r>
      <w:r w:rsidRPr="001177AF">
        <w:rPr>
          <w:color w:val="000000"/>
          <w:lang w:val="en-GB"/>
        </w:rPr>
        <w:t xml:space="preserve">that society and the economy will be confronted with </w:t>
      </w:r>
      <w:r w:rsidR="00247B41" w:rsidRPr="001177AF">
        <w:rPr>
          <w:color w:val="000000"/>
          <w:lang w:val="en-GB"/>
        </w:rPr>
        <w:t>severe</w:t>
      </w:r>
      <w:r w:rsidRPr="001177AF">
        <w:rPr>
          <w:color w:val="000000"/>
          <w:lang w:val="en-GB"/>
        </w:rPr>
        <w:t xml:space="preserve"> challenges as the proportion of </w:t>
      </w:r>
      <w:r w:rsidR="001C0C8B" w:rsidRPr="001177AF">
        <w:rPr>
          <w:color w:val="000000"/>
          <w:lang w:val="en-GB"/>
        </w:rPr>
        <w:t>older people</w:t>
      </w:r>
      <w:r w:rsidRPr="001177AF">
        <w:rPr>
          <w:color w:val="000000"/>
          <w:lang w:val="en-GB"/>
        </w:rPr>
        <w:t xml:space="preserve"> in the total population continues to rise</w:t>
      </w:r>
      <w:r w:rsidR="00EA6181" w:rsidRPr="001177AF">
        <w:rPr>
          <w:color w:val="000000"/>
          <w:lang w:val="en-GB"/>
        </w:rPr>
        <w:t xml:space="preserve"> over the coming decade</w:t>
      </w:r>
      <w:r w:rsidRPr="001177AF">
        <w:rPr>
          <w:color w:val="000000"/>
          <w:lang w:val="en-GB"/>
        </w:rPr>
        <w:t xml:space="preserve">. Therefore, taking new </w:t>
      </w:r>
      <w:r w:rsidR="009A7ACD" w:rsidRPr="001177AF">
        <w:rPr>
          <w:color w:val="000000"/>
          <w:lang w:val="en-GB"/>
        </w:rPr>
        <w:t>approaches</w:t>
      </w:r>
      <w:r w:rsidRPr="001177AF">
        <w:rPr>
          <w:color w:val="000000"/>
          <w:lang w:val="en-GB"/>
        </w:rPr>
        <w:t xml:space="preserve"> for early diagnosis and accurate interventions</w:t>
      </w:r>
      <w:r w:rsidR="00527825" w:rsidRPr="001177AF">
        <w:rPr>
          <w:color w:val="000000"/>
          <w:lang w:val="en-GB"/>
        </w:rPr>
        <w:t xml:space="preserve"> and</w:t>
      </w:r>
      <w:r w:rsidR="001A367B" w:rsidRPr="001177AF">
        <w:rPr>
          <w:color w:val="000000"/>
          <w:lang w:val="en-GB"/>
        </w:rPr>
        <w:t xml:space="preserve"> </w:t>
      </w:r>
      <w:r w:rsidRPr="001177AF">
        <w:rPr>
          <w:color w:val="000000"/>
          <w:lang w:val="en-GB"/>
        </w:rPr>
        <w:t>monitoring the progression is needed to improve the efficiency and accuracy of treatments in patients suffering from PD.</w:t>
      </w:r>
    </w:p>
    <w:p w14:paraId="21890A64" w14:textId="5C051E78" w:rsidR="00A905BA" w:rsidRPr="001177AF" w:rsidRDefault="0042092E" w:rsidP="009E06E4">
      <w:pPr>
        <w:spacing w:line="360" w:lineRule="auto"/>
        <w:jc w:val="both"/>
        <w:rPr>
          <w:lang w:val="en-GB"/>
        </w:rPr>
      </w:pPr>
      <w:r w:rsidRPr="001177AF">
        <w:rPr>
          <w:color w:val="000000"/>
          <w:lang w:val="en-GB"/>
        </w:rPr>
        <w:t xml:space="preserve">Despite </w:t>
      </w:r>
      <w:r w:rsidR="007D5D81" w:rsidRPr="001177AF">
        <w:rPr>
          <w:color w:val="000000"/>
          <w:lang w:val="en-GB"/>
        </w:rPr>
        <w:t xml:space="preserve">the </w:t>
      </w:r>
      <w:r w:rsidRPr="001177AF">
        <w:rPr>
          <w:color w:val="000000"/>
          <w:lang w:val="en-GB"/>
        </w:rPr>
        <w:t xml:space="preserve">recent interest and novel approaches </w:t>
      </w:r>
      <w:r w:rsidR="001351D8" w:rsidRPr="001177AF">
        <w:rPr>
          <w:color w:val="000000"/>
          <w:lang w:val="en-GB"/>
        </w:rPr>
        <w:t xml:space="preserve">to </w:t>
      </w:r>
      <w:r w:rsidR="00241C79" w:rsidRPr="001177AF">
        <w:rPr>
          <w:color w:val="000000"/>
          <w:lang w:val="en-GB"/>
        </w:rPr>
        <w:t>facilitate</w:t>
      </w:r>
      <w:r w:rsidRPr="001177AF">
        <w:rPr>
          <w:color w:val="000000"/>
          <w:lang w:val="en-GB"/>
        </w:rPr>
        <w:t xml:space="preserve"> the diagnosis of </w:t>
      </w:r>
      <w:r w:rsidR="00D93F13" w:rsidRPr="001177AF">
        <w:rPr>
          <w:color w:val="000000"/>
          <w:lang w:val="en-GB"/>
        </w:rPr>
        <w:t>PD</w:t>
      </w:r>
      <w:r w:rsidRPr="001177AF">
        <w:rPr>
          <w:color w:val="000000"/>
          <w:lang w:val="en-GB"/>
        </w:rPr>
        <w:t>,</w:t>
      </w:r>
      <w:r w:rsidR="001A6897" w:rsidRPr="001177AF">
        <w:rPr>
          <w:color w:val="000000"/>
          <w:lang w:val="en-GB"/>
        </w:rPr>
        <w:t xml:space="preserve"> </w:t>
      </w:r>
      <w:r w:rsidR="00F46D8B" w:rsidRPr="001177AF">
        <w:rPr>
          <w:color w:val="000000"/>
          <w:lang w:val="en-GB"/>
        </w:rPr>
        <w:t xml:space="preserve">there </w:t>
      </w:r>
      <w:r w:rsidR="001351D8" w:rsidRPr="001177AF">
        <w:rPr>
          <w:color w:val="000000"/>
          <w:lang w:val="en-GB"/>
        </w:rPr>
        <w:t xml:space="preserve">are </w:t>
      </w:r>
      <w:r w:rsidR="00F46D8B" w:rsidRPr="001177AF">
        <w:rPr>
          <w:color w:val="000000"/>
          <w:lang w:val="en-GB"/>
        </w:rPr>
        <w:t xml:space="preserve">still </w:t>
      </w:r>
      <w:r w:rsidR="001351D8" w:rsidRPr="001177AF">
        <w:rPr>
          <w:color w:val="000000"/>
          <w:lang w:val="en-GB"/>
        </w:rPr>
        <w:t xml:space="preserve">insufficient </w:t>
      </w:r>
      <w:r w:rsidRPr="001177AF">
        <w:rPr>
          <w:color w:val="000000"/>
          <w:lang w:val="en-GB"/>
        </w:rPr>
        <w:t xml:space="preserve">biomarkers </w:t>
      </w:r>
      <w:r w:rsidR="00241C79" w:rsidRPr="001177AF">
        <w:rPr>
          <w:color w:val="000000"/>
          <w:lang w:val="en-GB"/>
        </w:rPr>
        <w:t xml:space="preserve">to </w:t>
      </w:r>
      <w:r w:rsidR="001351D8" w:rsidRPr="001177AF">
        <w:rPr>
          <w:color w:val="000000"/>
          <w:lang w:val="en-GB"/>
        </w:rPr>
        <w:t xml:space="preserve">assist </w:t>
      </w:r>
      <w:r w:rsidR="00D25D29" w:rsidRPr="001177AF">
        <w:rPr>
          <w:color w:val="000000"/>
          <w:lang w:val="en-GB"/>
        </w:rPr>
        <w:t xml:space="preserve">this process. </w:t>
      </w:r>
      <w:r w:rsidR="001351D8" w:rsidRPr="001177AF">
        <w:rPr>
          <w:color w:val="000000"/>
          <w:lang w:val="en-GB"/>
        </w:rPr>
        <w:t xml:space="preserve">The frequently used </w:t>
      </w:r>
      <w:r w:rsidRPr="001177AF">
        <w:rPr>
          <w:color w:val="000000"/>
          <w:lang w:val="en-GB"/>
        </w:rPr>
        <w:t>methods</w:t>
      </w:r>
      <w:r w:rsidR="001351D8" w:rsidRPr="001177AF">
        <w:rPr>
          <w:color w:val="000000"/>
          <w:lang w:val="en-GB"/>
        </w:rPr>
        <w:t xml:space="preserve"> often</w:t>
      </w:r>
      <w:r w:rsidR="00241C79" w:rsidRPr="001177AF">
        <w:rPr>
          <w:color w:val="000000"/>
          <w:lang w:val="en-GB"/>
        </w:rPr>
        <w:t xml:space="preserve"> </w:t>
      </w:r>
      <w:r w:rsidRPr="001177AF">
        <w:rPr>
          <w:color w:val="000000"/>
          <w:lang w:val="en-GB"/>
        </w:rPr>
        <w:t xml:space="preserve">rely on in-clinic visits </w:t>
      </w:r>
      <w:r w:rsidR="001351D8" w:rsidRPr="001177AF">
        <w:rPr>
          <w:color w:val="000000"/>
          <w:lang w:val="en-GB"/>
        </w:rPr>
        <w:t xml:space="preserve">and subjective evaluation of </w:t>
      </w:r>
      <w:r w:rsidR="00241C79" w:rsidRPr="001177AF">
        <w:rPr>
          <w:color w:val="000000"/>
          <w:lang w:val="en-GB"/>
        </w:rPr>
        <w:t>patients</w:t>
      </w:r>
      <w:r w:rsidR="001351D8" w:rsidRPr="001177AF">
        <w:rPr>
          <w:color w:val="000000"/>
          <w:lang w:val="en-GB"/>
        </w:rPr>
        <w:t xml:space="preserve"> combining </w:t>
      </w:r>
      <w:r w:rsidRPr="001177AF">
        <w:rPr>
          <w:color w:val="000000"/>
          <w:lang w:val="en-GB"/>
        </w:rPr>
        <w:t>clinician-rated systems</w:t>
      </w:r>
      <w:r w:rsidR="000031FF" w:rsidRPr="001177AF">
        <w:rPr>
          <w:color w:val="000000"/>
          <w:lang w:val="en-GB"/>
        </w:rPr>
        <w:t xml:space="preserve"> such as the Movement Disorder </w:t>
      </w:r>
      <w:r w:rsidR="004E0CB0" w:rsidRPr="001177AF">
        <w:rPr>
          <w:color w:val="000000"/>
          <w:lang w:val="en-GB"/>
        </w:rPr>
        <w:t>Society's</w:t>
      </w:r>
      <w:r w:rsidR="000031FF" w:rsidRPr="001177AF">
        <w:rPr>
          <w:color w:val="000000"/>
          <w:lang w:val="en-GB"/>
        </w:rPr>
        <w:t xml:space="preserve"> Unified </w:t>
      </w:r>
      <w:r w:rsidR="004E0CB0" w:rsidRPr="001177AF">
        <w:rPr>
          <w:color w:val="000000"/>
          <w:lang w:val="en-GB"/>
        </w:rPr>
        <w:t>Parkinson's</w:t>
      </w:r>
      <w:r w:rsidR="000031FF" w:rsidRPr="001177AF">
        <w:rPr>
          <w:color w:val="000000"/>
          <w:lang w:val="en-GB"/>
        </w:rPr>
        <w:t xml:space="preserve"> Disease Rating </w:t>
      </w:r>
      <w:r w:rsidR="000031FF" w:rsidRPr="001177AF">
        <w:rPr>
          <w:color w:val="000000"/>
          <w:lang w:val="en-GB"/>
        </w:rPr>
        <w:lastRenderedPageBreak/>
        <w:t>Scale (MDS-UPDRS)</w:t>
      </w:r>
      <w:r w:rsidR="001351D8" w:rsidRPr="001177AF">
        <w:rPr>
          <w:color w:val="000000"/>
          <w:lang w:val="en-GB"/>
        </w:rPr>
        <w:t xml:space="preserve"> </w:t>
      </w:r>
      <w:r w:rsidRPr="001177AF">
        <w:rPr>
          <w:color w:val="000000"/>
          <w:lang w:val="en-GB"/>
        </w:rPr>
        <w:t>and self-</w:t>
      </w:r>
      <w:r w:rsidR="001351D8" w:rsidRPr="001177AF">
        <w:rPr>
          <w:color w:val="000000"/>
          <w:lang w:val="en-GB"/>
        </w:rPr>
        <w:t xml:space="preserve">reported information </w:t>
      </w:r>
      <w:r w:rsidR="00774550" w:rsidRPr="001177AF">
        <w:rPr>
          <w:color w:val="000000"/>
          <w:lang w:val="en-GB"/>
        </w:rPr>
        <w:fldChar w:fldCharType="begin"/>
      </w:r>
      <w:r w:rsidR="00726C10" w:rsidRPr="001177AF">
        <w:rPr>
          <w:color w:val="000000"/>
          <w:lang w:val="en-GB"/>
        </w:rPr>
        <w:instrText>ADDIN F1000_CSL_CITATION&lt;~#@#~&gt;[{"DOI":"10.1159/000477383","First":false,"Last":false,"PMCID":"PMC7015357","PMID":"32095743","abstract":"Current measures of neurodegenerative diseases are highly subjective and based on episodic visits. Consequently, drug development decisions rely on sparse, subjective data, which have led to the conduct of large-scale phase 3 trials of drugs that are likely not effective. Such failures are costly, deter future investment, and hinder the development of treatments. Given the lack of reliable physiological biomarkers, digital biomarkers may help to address current shortcomings. Objective, high-frequency data can guide critical decision-making in therapeutic development and allow for a more efficient evaluation of therapies of increasingly common disorders.&lt;br&gt;&lt;br&gt;Copyright © 2017 by S. Karger AG, Basel.","author":[{"family":"Dorsey","given":"E Ray"},{"family":"Papapetropoulos","given":"Spyros"},{"family":"Xiong","given":"Mulin"},{"family":"Kieburtz","given":"Karl"}],"authorYearDisplayFormat":false,"citation-label":"4909185","container-title":"Digital Biomarkers","container-title-short":"Digit. Biomark.","id":"4909185","invisible":false,"issue":"1","issued":{"date-parts":[["2017","12"]]},"journalAbbreviation":"Digit. Biomark.","page":"6-13","suppress-author":false,"title":"The first frontier: digital biomarkers for neurodegenerative disorders.","type":"article-journal","volume":"1"},{"DOI":"10.1002/mds.22340","First":false,"Last":false,"PMID":"19025984","abstract":"We present a clinimetric assessment of the Movement Disorder Society (MDS)-sponsored revision of the Unified Parkinson's Disease Rating Scale (MDS-UPDRS). The MDS-UDPRS Task Force revised and expanded the UPDRS using recommendations from a published critique. The MDS-UPDRS has four parts, namely, I: Non-motor Experiences of Daily Living; II: Motor Experiences of Daily Living; III: Motor Examination; IV: Motor Complications. Twenty questions are completed by the patient/caregiver. Item-specific instructions and an appendix of complementary additional scales are provided. Movement disorder specialists and study coordinators administered the UPDRS (55 items) and MDS-UPDRS (65 items) to 877 English speaking (78% non-Latino Caucasian) patients with Parkinson's disease from 39 sites. We compared the two scales using correlative techniques and factor analysis. The MDS-UPDRS showed high internal consistency (Cronbach's alpha = 0.79-0.93 across parts) and correlated with the original UPDRS (rho = 0.96). MDS-UPDRS across-part correlations ranged from 0.22 to 0.66. Reliable factor structures for each part were obtained (comparative fit index &gt; 0.90 for each part), which support the use of sum scores for each part in preference to a total score of all parts. The combined clinimetric results of this study support the validity of the MDS-UPDRS for rating PD.","author":[{"family":"Goetz","given":"Christopher G"},{"family":"Tilley","given":"Barbara C"},{"family":"Shaftman","given":"Stephanie R"},{"family":"Stebbins","given":"Glenn T"},{"family":"Fahn","given":"Stanley"},{"family":"Martinez-Martin","given":"Pablo"},{"family":"Poewe","given":"Werner"},{"family":"Sampaio","given":"Cristina"},{"family":"Stern","given":"Matthew B"},{"family":"Dodel","given":"Richard"},{"family":"Dubois","given":"Bruno"},{"family":"Holloway","given":"Robert"},{"family":"Jankovic","given":"Joseph"},{"family":"Kulisevsky","given":"Jaime"},{"family":"Lang","given":"Anthony E"},{"family":"Lees","given":"Andrew"},{"family":"Leurgans","given":"Sue"},{"family":"LeWitt","given":"Peter A"},{"family":"Nyenhuis","given":"David"},{"family":"Olanow","given":"C Warren"},{"family":"Rascol","given":"Olivier"},{"family":"Schrag","given":"Anette"},{"family":"Teresi","given":"Jeanne A"},{"family":"van Hilten","given":"Jacobus J"},{"family":"LaPelle","given":"Nancy"},{"family":"Movement Disorder Society UPDRS Revision Task Force"}],"authorYearDisplayFormat":false,"citation-label":"1028136","container-title":"Movement Disorders","container-title-short":"Mov. Disord.","id":"1028136","invisible":false,"issue":"15","issued":{"date-parts":[["2008","11","15"]]},"journalAbbreviation":"Mov. Disord.","page":"2129-2170","suppress-author":false,"title":"Movement Disorder Society-sponsored revision of the Unified Parkinson's Disease Rating Scale (MDS-UPDRS): scale presentation and clinimetric testing results.","type":"article-journal","volume":"23"}]</w:instrText>
      </w:r>
      <w:r w:rsidR="00774550" w:rsidRPr="001177AF">
        <w:rPr>
          <w:color w:val="000000"/>
          <w:lang w:val="en-GB"/>
        </w:rPr>
        <w:fldChar w:fldCharType="separate"/>
      </w:r>
      <w:r w:rsidR="00726C10" w:rsidRPr="001177AF">
        <w:rPr>
          <w:noProof/>
          <w:color w:val="000000"/>
          <w:lang w:val="en-GB"/>
        </w:rPr>
        <w:t>(30,31)</w:t>
      </w:r>
      <w:r w:rsidR="00774550" w:rsidRPr="001177AF">
        <w:rPr>
          <w:color w:val="000000"/>
          <w:lang w:val="en-GB"/>
        </w:rPr>
        <w:fldChar w:fldCharType="end"/>
      </w:r>
      <w:r w:rsidR="007633FA" w:rsidRPr="001177AF">
        <w:rPr>
          <w:color w:val="000000"/>
          <w:lang w:val="en-GB"/>
        </w:rPr>
        <w:t>.</w:t>
      </w:r>
      <w:r w:rsidR="00C6481B" w:rsidRPr="001177AF">
        <w:rPr>
          <w:color w:val="000000"/>
          <w:lang w:val="en-GB"/>
        </w:rPr>
        <w:t xml:space="preserve"> </w:t>
      </w:r>
      <w:r w:rsidR="00CD0F82" w:rsidRPr="001177AF">
        <w:rPr>
          <w:color w:val="000000"/>
          <w:lang w:val="en-GB"/>
        </w:rPr>
        <w:t>T</w:t>
      </w:r>
      <w:r w:rsidRPr="001177AF">
        <w:rPr>
          <w:color w:val="000000"/>
          <w:lang w:val="en-GB"/>
        </w:rPr>
        <w:t xml:space="preserve">hese in-person visits are limited in terms of </w:t>
      </w:r>
      <w:r w:rsidR="007D5D81" w:rsidRPr="001177AF">
        <w:rPr>
          <w:color w:val="000000"/>
          <w:lang w:val="en-GB"/>
        </w:rPr>
        <w:t>travel distance</w:t>
      </w:r>
      <w:r w:rsidRPr="001177AF">
        <w:rPr>
          <w:color w:val="000000"/>
          <w:lang w:val="en-GB"/>
        </w:rPr>
        <w:t xml:space="preserve"> and distribution of </w:t>
      </w:r>
      <w:r w:rsidR="005D54DC" w:rsidRPr="001177AF">
        <w:rPr>
          <w:color w:val="000000"/>
          <w:lang w:val="en-GB"/>
        </w:rPr>
        <w:t>specialised</w:t>
      </w:r>
      <w:r w:rsidRPr="001177AF">
        <w:rPr>
          <w:color w:val="000000"/>
          <w:lang w:val="en-GB"/>
        </w:rPr>
        <w:t xml:space="preserve"> physicians and professional healthcare personnel</w:t>
      </w:r>
      <w:r w:rsidR="00D25D29" w:rsidRPr="001177AF">
        <w:rPr>
          <w:color w:val="000000"/>
          <w:lang w:val="en-GB"/>
        </w:rPr>
        <w:t xml:space="preserve"> which</w:t>
      </w:r>
      <w:r w:rsidR="00574003" w:rsidRPr="001177AF">
        <w:rPr>
          <w:color w:val="000000"/>
          <w:lang w:val="en-GB"/>
        </w:rPr>
        <w:t xml:space="preserve"> are often</w:t>
      </w:r>
      <w:r w:rsidRPr="001177AF">
        <w:rPr>
          <w:color w:val="000000"/>
          <w:lang w:val="en-GB"/>
        </w:rPr>
        <w:t xml:space="preserve"> expensive and inaccessible to</w:t>
      </w:r>
      <w:r w:rsidR="001351D8" w:rsidRPr="001177AF">
        <w:rPr>
          <w:color w:val="000000"/>
          <w:lang w:val="en-GB"/>
        </w:rPr>
        <w:t xml:space="preserve"> most people</w:t>
      </w:r>
      <w:r w:rsidRPr="001177AF">
        <w:rPr>
          <w:color w:val="000000"/>
          <w:lang w:val="en-GB"/>
        </w:rPr>
        <w:t>.</w:t>
      </w:r>
      <w:r w:rsidR="007C21A7" w:rsidRPr="001177AF">
        <w:rPr>
          <w:color w:val="000000"/>
          <w:lang w:val="en-GB"/>
        </w:rPr>
        <w:t xml:space="preserve"> Furthermore, the quality and quantity of observations that these approaches produce are frequently inadequate, and they also have a strong potential for </w:t>
      </w:r>
      <w:r w:rsidR="00241C79" w:rsidRPr="001177AF">
        <w:rPr>
          <w:color w:val="000000"/>
          <w:lang w:val="en-GB"/>
        </w:rPr>
        <w:t xml:space="preserve">a </w:t>
      </w:r>
      <w:r w:rsidR="001351D8" w:rsidRPr="001177AF">
        <w:rPr>
          <w:color w:val="000000"/>
          <w:lang w:val="en-GB"/>
        </w:rPr>
        <w:t>large</w:t>
      </w:r>
      <w:r w:rsidR="00241C79" w:rsidRPr="001177AF">
        <w:rPr>
          <w:color w:val="000000"/>
          <w:lang w:val="en-GB"/>
        </w:rPr>
        <w:t xml:space="preserve"> </w:t>
      </w:r>
      <w:r w:rsidR="001351D8" w:rsidRPr="001177AF">
        <w:rPr>
          <w:color w:val="000000"/>
          <w:lang w:val="en-GB"/>
        </w:rPr>
        <w:t xml:space="preserve">degree </w:t>
      </w:r>
      <w:r w:rsidR="007C21A7" w:rsidRPr="001177AF">
        <w:rPr>
          <w:color w:val="000000"/>
          <w:lang w:val="en-GB"/>
        </w:rPr>
        <w:t>of inter- and intra-</w:t>
      </w:r>
      <w:proofErr w:type="spellStart"/>
      <w:r w:rsidR="007C21A7" w:rsidRPr="001177AF">
        <w:rPr>
          <w:color w:val="000000"/>
          <w:lang w:val="en-GB"/>
        </w:rPr>
        <w:t>rater</w:t>
      </w:r>
      <w:proofErr w:type="spellEnd"/>
      <w:r w:rsidR="007C21A7" w:rsidRPr="001177AF">
        <w:rPr>
          <w:color w:val="000000"/>
          <w:lang w:val="en-GB"/>
        </w:rPr>
        <w:t xml:space="preserve"> variability </w:t>
      </w:r>
      <w:r w:rsidR="007C21A7" w:rsidRPr="001177AF">
        <w:rPr>
          <w:color w:val="000000"/>
          <w:lang w:val="en-GB"/>
        </w:rPr>
        <w:fldChar w:fldCharType="begin"/>
      </w:r>
      <w:r w:rsidR="00726C10" w:rsidRPr="001177AF">
        <w:rPr>
          <w:color w:val="000000"/>
          <w:lang w:val="en-GB"/>
        </w:rPr>
        <w:instrText>ADDIN F1000_CSL_CITATION&lt;~#@#~&gt;[{"DOI":"10.1088/1361-6579/aab512","First":false,"Last":false,"PMID":"29516871","abstract":"&lt;strong&gt;OBJECTIVE:&lt;/strong&gt; To better understand the longitudinal characteristics of Parkinson's disease (PD) through the analysis of finger tapping and memory tests collected remotely using smartphones.&lt;br&gt;&lt;br&gt;&lt;strong&gt;APPROACH:&lt;/strong&gt; Using a large cohort (312 PD subjects and 236 controls) of participants in the mPower study, we extract clinically validated features from a finger tapping and memory test to monitor the longitudinal behaviour of study participants. We investigate any discrepancy in learning rates associated with motor and non-motor tasks between PD subjects and healthy controls. The ability of these features to predict self-assigned severity measures is assessed whilst simultaneously inspecting the severity scoring system for floor-ceiling effects. Finally, we study the relationship between motor and non-motor longitudinal behaviour to determine if separate aspects of the disease are dependent on one another.&lt;br&gt;&lt;br&gt;&lt;strong&gt;MAIN RESULTS:&lt;/strong&gt; We find that the test performances of the most severe subjects show significant correlations with self-assigned severity measures. Interestingly, less severe subjects do not show significant correlations, which is shown to be a consequence of floor-ceiling effects within the mPower self-reporting severity system. We find that motor performance after practise is a better predictor of severity than baseline performance suggesting that starting performance at a new motor task is less representative of disease severity than the performance after the test has been learnt. We find PD subjects show significant impairments in motor ability as assessed through the alternating finger tapping (AFT) test in both the short- and long-term analyses. In the AFT and memory tests we demonstrate that PD subjects show a larger degree of longitudinal performance variability in addition to requiring more instances of a test to reach a steady state performance than healthy subjects.&lt;br&gt;&lt;br&gt;&lt;strong&gt;SIGNIFICANCE:&lt;/strong&gt; Our findings pave the way forward for objective assessment and quantification of longitudinal learning rates in PD. This can be particularly useful for symptom monitoring and assessing medication response. This study tries to tackle some of the major challenges associated with self-assessed severity labels by designing and validating features extracted from big datasets in PD, which could help identify digital biomarkers capable of providing measures of disease severity outside of a clinical environment.","author":[{"family":"Prince","given":"John"},{"family":"Arora","given":"Siddharth"},{"family":"de Vos","given":"Maarten"}],"authorYearDisplayFormat":false,"citation-label":"5577022","container-title":"Physiological Measurement","container-title-short":"Physiol. Meas.","id":"5577022","invisible":false,"issue":"4","issued":{"date-parts":[["2018","4","26"]]},"journalAbbreviation":"Physiol. Meas.","page":"044005","suppress-author":false,"title":"Big data in Parkinson's disease: using smartphones to remotely detect longitudinal disease phenotypes.","type":"article-journal","volume":"39"},{"First":false,"Last":false,"abstract":"Objective: The aim of this study is to develop a smartphone-based\nhigh-frequency remote monitoring platform, assess its feasibility for remote\nmonitoring of symptoms in Parkinson's disease, and demonstrate the value of\ndata collected using the platform by detecting dopaminergic medication\nresponse. Methods: We have developed HopkinsPD, a novel smartphone-based\nmonitoring platform, which measures symptoms actively (i.e. data are collected\nwhen a suite of tests is initiated by the individual at specific times during\nthe day), and passively (i.e. data are collected continuously in the\nbackground). After data collection, we extract features to assess measures of\nfive key behaviors related to PD symptoms -- voice, balance, gait, dexterity,\nand reaction time. A random forest classifier is used to discriminate\nmeasurements taken after a dose of medication (treatment) versus before the\nmedication dose (baseline). Results: A worldwide study for remote PD monitoring\nwas established using HopkinsPD in July, 2014. This study used entirely remote,\nonline recruitment and installation, demonstrating highly cost-effective\nscalability. In six months, 226 individuals (121 PD and 105 controls)\ncontributed over 46,000 hours of passive monitoring data and approximately\n8,000 instances of structured tests of voice, balance, gait, reaction, and\ndexterity. To the best of our knowledge, this is the first study to have\ncollected data at such a scale for remote PD monitoring. Moreover, we\ndemonstrate the initial ability to discriminate treatment from baseline with\n71.0(+-0.4)% accuracy, which suggests medication response can be monitored\nremotely via smartphone-based measures.","author":[{"family":"Zhan","given":"Andong"},{"family":"Little","given":"Max A."},{"family":"Harris","given":"Denzil A."},{"family":"Abiola","given":"Solomon O."},{"family":"Dorsey","given":"E. Ray"},{"family":"Saria","given":"Suchi"},{"family":"Terzis","given":"Andreas"}],"authorYearDisplayFormat":false,"citation-label":"9192570","container-title":"arXiv","container-title-short":"arXiv","id":"9192570","invisible":false,"issued":{"date-parts":[["2016","1","5"]]},"journalAbbreviation":"arXiv","suppress-author":false,"title":"High Frequency Remote Monitoring of Parkinson's Disease via Smartphone: Platform Overview and Medication Response Detection","type":"article-journal"},{"DOI":"10.3389/fnins.2017.00555","First":false,"Last":false,"PMCID":"PMC5635326","PMID":"29056899","abstract":"Background: Parkinson's disease (PD) is a common and disabling pathology that is characterized by both motor and non-motor symptoms and affects millions of people worldwide. The disease significantly affects quality of life of those affected. Many works in literature discuss the effects of the disease. The most promising trends involve sensor devices, which are low cost, low power, unobtrusive, and accurate in the measurements, for monitoring and managing the pathology.&lt;br&gt;&lt;br&gt;&lt;strong&gt;OBJECTIVES:&lt;/strong&gt; This review focuses on wearable devices for PD applications and identifies five main fields: early diagnosis, tremor, body motion analysis, motor fluctuations (ON-OFF phases), and home and long-term monitoring. The concept is to obtain an overview of the pathology at each stage of development, from the beginning of the disease to consider early symptoms, during disease progression with analysis of the most common disorders, and including management of the most complicated situations (i.e., motor fluctuations and long-term remote monitoring).&lt;br&gt;&lt;br&gt;&lt;strong&gt;DATA SOURCES:&lt;/strong&gt; The research was conducted within three databases: IEEE Xplore®, Science Direct®, and PubMed Central®, between January 2006 and December 2016.&lt;br&gt;&lt;br&gt;&lt;strong&gt;STUDY ELIGIBILITY CRITERIA:&lt;/strong&gt; Since 1,429 articles were found, accurate definition of the exclusion criteria and selection strategy allowed identification of the most relevant papers.&lt;br&gt;&lt;br&gt;&lt;strong&gt;RESULTS:&lt;/strong&gt; Finally, 136 papers were fully evaluated and included in this review, allowing a wide overview of wearable devices for the management of Parkinson's disease.","author":[{"family":"Rovini","given":"Erika"},{"family":"Maremmani","given":"Carlo"},{"family":"Cavallo","given":"Filippo"}],"authorYearDisplayFormat":false,"citation-label":"4426578","container-title":"Frontiers in Neuroscience","container-title-short":"Front. Neurosci.","id":"4426578","invisible":false,"issued":{"date-parts":[["2017","10","6"]]},"journalAbbreviation":"Front. Neurosci.","page":"555","suppress-author":false,"title":"How wearable sensors can support parkinson's disease diagnosis and treatment: A systematic review.","type":"article-journal","volume":"11"}]</w:instrText>
      </w:r>
      <w:r w:rsidR="007C21A7" w:rsidRPr="001177AF">
        <w:rPr>
          <w:color w:val="000000"/>
          <w:lang w:val="en-GB"/>
        </w:rPr>
        <w:fldChar w:fldCharType="separate"/>
      </w:r>
      <w:r w:rsidR="00726C10" w:rsidRPr="001177AF">
        <w:rPr>
          <w:noProof/>
          <w:color w:val="000000"/>
          <w:lang w:val="en-GB"/>
        </w:rPr>
        <w:t>(8,32,33)</w:t>
      </w:r>
      <w:r w:rsidR="007C21A7" w:rsidRPr="001177AF">
        <w:rPr>
          <w:color w:val="000000"/>
          <w:lang w:val="en-GB"/>
        </w:rPr>
        <w:fldChar w:fldCharType="end"/>
      </w:r>
      <w:r w:rsidR="007C21A7" w:rsidRPr="001177AF">
        <w:rPr>
          <w:color w:val="000000"/>
          <w:lang w:val="en-GB"/>
        </w:rPr>
        <w:t xml:space="preserve">. In addition, they are affected by several different recall biases, which can </w:t>
      </w:r>
      <w:r w:rsidR="00CE14AA" w:rsidRPr="001177AF">
        <w:rPr>
          <w:color w:val="000000"/>
          <w:lang w:val="en-GB"/>
        </w:rPr>
        <w:t>introduce</w:t>
      </w:r>
      <w:r w:rsidR="007C21A7" w:rsidRPr="001177AF">
        <w:rPr>
          <w:color w:val="000000"/>
          <w:lang w:val="en-GB"/>
        </w:rPr>
        <w:t xml:space="preserve"> </w:t>
      </w:r>
      <w:r w:rsidR="0006362E" w:rsidRPr="001177AF">
        <w:rPr>
          <w:color w:val="000000"/>
          <w:lang w:val="en-GB"/>
        </w:rPr>
        <w:t>errors</w:t>
      </w:r>
      <w:r w:rsidR="007C21A7" w:rsidRPr="001177AF">
        <w:rPr>
          <w:color w:val="000000"/>
          <w:lang w:val="en-GB"/>
        </w:rPr>
        <w:t xml:space="preserve"> and limit the usefulness of findings based on these reports </w:t>
      </w:r>
      <w:r w:rsidR="007C21A7" w:rsidRPr="001177AF">
        <w:rPr>
          <w:color w:val="000000"/>
          <w:lang w:val="en-GB"/>
        </w:rPr>
        <w:fldChar w:fldCharType="begin"/>
      </w:r>
      <w:r w:rsidR="00726C10" w:rsidRPr="001177AF">
        <w:rPr>
          <w:color w:val="000000"/>
          <w:lang w:val="en-GB"/>
        </w:rPr>
        <w:instrText>ADDIN F1000_CSL_CITATION&lt;~#@#~&gt;[{"DOI":"10.1037/a0016869","First":false,"Last":false,"PMCID":"PMC2864015","PMID":"19719353","abstract":"Traditional self-report measures of psychopathology may be influenced by a variety of recall biases. Ecological momentary assessment (EMA) reduces these biases by assessing individuals' experiences as they occur in their natural environments. This study examines the discrepancy between trait questionnaire, retrospective report, and EMA measures of affective instability in psychiatric outpatients either with a borderline personality diagnosis (n = 58) or with a current episode of major depressive disorder or dysthymia (n = 42). The authors examined the agreement of 3 trait measures of affective instability-the Affective Instability subscale of the Personality Assessment Inventory-Borderline Features scale (L. C. Morey, 1991), the Affect Intensity Measure (R. J. Larsen, E. Diener, &amp; R. Emmons, 1986), and the Affect Lability Scales (P. D. Harvey, B. R. Greenberg, &amp; M. R. Serper, 1989)-and 1 retrospective mood recall task with EMA indices of mood and mood instability. Results indicate only modest to moderate agreement between momentary and questionnaire assessments of trait affective instability; agreement between recalled mood changes and EMA indices was poor. Implications for clinical research and practice and possible applications of EMA methodology are discussed.&lt;br&gt;&lt;br&gt;Copyright 2009 APA, all rights reserved.","author":[{"family":"Solhan","given":"Marika B"},{"family":"Trull","given":"Timothy J"},{"family":"Jahng","given":"Seungmin"},{"family":"Wood","given":"Phillip K"}],"authorYearDisplayFormat":false,"citation-label":"73811","container-title":"Psychological Assessment","container-title-short":"Psychol. Assess.","id":"73811","invisible":false,"issue":"3","issued":{"date-parts":[["2009","9"]]},"journalAbbreviation":"Psychol. Assess.","page":"425-436","suppress-author":false,"title":"Clinical assessment of affective instability: comparing EMA indices, questionnaire reports, and retrospective recall.","type":"article-journal","volume":"21"}]</w:instrText>
      </w:r>
      <w:r w:rsidR="007C21A7" w:rsidRPr="001177AF">
        <w:rPr>
          <w:color w:val="000000"/>
          <w:lang w:val="en-GB"/>
        </w:rPr>
        <w:fldChar w:fldCharType="separate"/>
      </w:r>
      <w:r w:rsidR="00726C10" w:rsidRPr="001177AF">
        <w:rPr>
          <w:noProof/>
          <w:color w:val="000000"/>
          <w:lang w:val="en-GB"/>
        </w:rPr>
        <w:t>(34)</w:t>
      </w:r>
      <w:r w:rsidR="007C21A7" w:rsidRPr="001177AF">
        <w:rPr>
          <w:color w:val="000000"/>
          <w:lang w:val="en-GB"/>
        </w:rPr>
        <w:fldChar w:fldCharType="end"/>
      </w:r>
      <w:r w:rsidR="007C21A7" w:rsidRPr="001177AF">
        <w:rPr>
          <w:color w:val="000000"/>
          <w:lang w:val="en-GB"/>
        </w:rPr>
        <w:t>.</w:t>
      </w:r>
      <w:r w:rsidR="000E5093" w:rsidRPr="001177AF">
        <w:rPr>
          <w:color w:val="000000"/>
          <w:lang w:val="en-GB"/>
        </w:rPr>
        <w:t xml:space="preserve"> Nevertheless, </w:t>
      </w:r>
      <w:r w:rsidR="00DF4AF1" w:rsidRPr="001177AF">
        <w:rPr>
          <w:color w:val="000000"/>
          <w:lang w:val="en-GB"/>
        </w:rPr>
        <w:t xml:space="preserve"> </w:t>
      </w:r>
      <w:r w:rsidR="000E5093" w:rsidRPr="001177AF">
        <w:rPr>
          <w:color w:val="000000"/>
          <w:lang w:val="en-GB"/>
        </w:rPr>
        <w:t>t</w:t>
      </w:r>
      <w:r w:rsidR="00CE7B94" w:rsidRPr="001177AF">
        <w:rPr>
          <w:color w:val="000000"/>
          <w:lang w:val="en-GB"/>
        </w:rPr>
        <w:t xml:space="preserve">hese restrictions result in poor diagnostic accuracy for PD, particularly in the early stages of the disease, and this continues to be a significant impediment to patient care </w:t>
      </w:r>
      <w:r w:rsidR="00CE7B94" w:rsidRPr="001177AF">
        <w:rPr>
          <w:color w:val="000000"/>
          <w:lang w:val="en-GB"/>
        </w:rPr>
        <w:fldChar w:fldCharType="begin"/>
      </w:r>
      <w:r w:rsidR="00726C10" w:rsidRPr="001177AF">
        <w:rPr>
          <w:color w:val="000000"/>
          <w:lang w:val="en-GB"/>
        </w:rPr>
        <w:instrText>ADDIN F1000_CSL_CITATION&lt;~#@#~&gt;[{"DOI":"10.1212/WNL.0000000000000641","First":false,"Last":false,"PMCID":"PMC4132570","PMID":"24975862","abstract":"&lt;strong&gt;OBJECTIVES:&lt;/strong&gt; Determine diagnostic accuracy of a clinical diagnosis of Parkinson disease (PD) using neuropathologic diagnosis as the gold standard.&lt;br&gt;&lt;br&gt;&lt;strong&gt;METHODS:&lt;/strong&gt; Data from the Arizona Study of Aging and Neurodegenerative Disorders were used to determine the predictive value of a clinical PD diagnosis, using 2 clinical diagnostic confidence levels, PossPD (never treated or not clearly responsive) and ProbPD (responsive to medications). Neuropathologic diagnosis was the gold standard.&lt;br&gt;&lt;br&gt;&lt;strong&gt;RESULTS:&lt;/strong&gt; Based on first visit, 9 of 34 (26%) PossPD cases had neuropathologically confirmed PD while 80 of 97 (82%) ProbPD cases had confirmed PD. PD was confirmed in 8 of 15 (53%) ProbPD cases with &lt; 5 years of disease duration and 72 of 82 (88%) with ≥5 years of disease duration. Using final diagnosis at time of death, 91 of 107 (85%) ProbPD cases had confirmed PD. Clinical variables that improved diagnostic accuracy were medication response, motor fluctuations, dyskinesias, and hyposmia.&lt;br&gt;&lt;br&gt;&lt;strong&gt;CONCLUSIONS:&lt;/strong&gt; Using neuropathologic findings of PD as the gold standard, this study establishes the novel findings of only 26% accuracy for a clinical diagnosis of PD in untreated or not clearly responsive subjects, 53% accuracy in early PD responsive to medication (&lt; 5 years' duration), and &gt;85% diagnostic accuracy of longer duration, medication-responsive PD. Caution is needed when interpreting clinical studies of PD, especially studies of early disease that do not have autopsy confirmation. The need for a tissue or other diagnostic biomarker is reinforced.&lt;br&gt;&lt;br&gt;&lt;strong&gt;CLASSIFICATION OF EVIDENCE:&lt;/strong&gt; This study provides Class II evidence that a clinical diagnosis of PD identifies patients who will have pathologically confirmed PD with a sensitivity of 88% and specificity of 68%.&lt;br&gt;&lt;br&gt;© 2014 American Academy of Neurology.","author":[{"family":"Adler","given":"Charles H"},{"family":"Beach","given":"Thomas G"},{"family":"Hentz","given":"Joseph G"},{"family":"Shill","given":"Holly A"},{"family":"Caviness","given":"John N"},{"family":"Driver-Dunckley","given":"Erika"},{"family":"Sabbagh","given":"Marwan N"},{"family":"Sue","given":"Lucia I"},{"family":"Jacobson","given":"Sandra A"},{"family":"Belden","given":"Christine M"},{"family":"Dugger","given":"Brittany N"}],"authorYearDisplayFormat":false,"citation-label":"4217329","container-title":"Neurology","container-title-short":"Neurology","id":"4217329","invisible":false,"issue":"5","issued":{"date-parts":[["2014","7","29"]]},"journalAbbreviation":"Neurology","page":"406-412","suppress-author":false,"title":"Low clinical diagnostic accuracy of early vs advanced Parkinson disease: clinicopathologic study.","type":"article-journal","volume":"83"}]</w:instrText>
      </w:r>
      <w:r w:rsidR="00CE7B94" w:rsidRPr="001177AF">
        <w:rPr>
          <w:color w:val="000000"/>
          <w:lang w:val="en-GB"/>
        </w:rPr>
        <w:fldChar w:fldCharType="separate"/>
      </w:r>
      <w:r w:rsidR="00726C10" w:rsidRPr="001177AF">
        <w:rPr>
          <w:noProof/>
          <w:color w:val="000000"/>
          <w:lang w:val="en-GB"/>
        </w:rPr>
        <w:t>(35)</w:t>
      </w:r>
      <w:r w:rsidR="00CE7B94" w:rsidRPr="001177AF">
        <w:rPr>
          <w:color w:val="000000"/>
          <w:lang w:val="en-GB"/>
        </w:rPr>
        <w:fldChar w:fldCharType="end"/>
      </w:r>
      <w:r w:rsidR="00CE7B94" w:rsidRPr="001177AF">
        <w:rPr>
          <w:color w:val="000000"/>
          <w:lang w:val="en-GB"/>
        </w:rPr>
        <w:t>.</w:t>
      </w:r>
    </w:p>
    <w:p w14:paraId="3EA46F09" w14:textId="574167A3" w:rsidR="006A6868" w:rsidRPr="001177AF" w:rsidRDefault="00CC7E18" w:rsidP="002920C7">
      <w:pPr>
        <w:spacing w:line="360" w:lineRule="auto"/>
        <w:jc w:val="both"/>
        <w:rPr>
          <w:lang w:val="en-GB"/>
        </w:rPr>
      </w:pPr>
      <w:r w:rsidRPr="001177AF">
        <w:rPr>
          <w:lang w:val="en-GB"/>
        </w:rPr>
        <w:t xml:space="preserve">Digital </w:t>
      </w:r>
      <w:r w:rsidR="009204EE" w:rsidRPr="001177AF">
        <w:rPr>
          <w:lang w:val="en-GB"/>
        </w:rPr>
        <w:t>sensors such as</w:t>
      </w:r>
      <w:r w:rsidR="007B4BDC" w:rsidRPr="001177AF">
        <w:rPr>
          <w:lang w:val="en-GB"/>
        </w:rPr>
        <w:t xml:space="preserve"> Inertial Measurement Unit</w:t>
      </w:r>
      <w:r w:rsidR="009204EE" w:rsidRPr="001177AF">
        <w:rPr>
          <w:lang w:val="en-GB"/>
        </w:rPr>
        <w:t xml:space="preserve"> </w:t>
      </w:r>
      <w:r w:rsidR="007B4BDC" w:rsidRPr="001177AF">
        <w:rPr>
          <w:lang w:val="en-GB"/>
        </w:rPr>
        <w:t>(</w:t>
      </w:r>
      <w:r w:rsidR="009204EE" w:rsidRPr="001177AF">
        <w:rPr>
          <w:lang w:val="en-GB"/>
        </w:rPr>
        <w:t>IMU</w:t>
      </w:r>
      <w:r w:rsidR="007B4BDC" w:rsidRPr="001177AF">
        <w:rPr>
          <w:lang w:val="en-GB"/>
        </w:rPr>
        <w:t>)</w:t>
      </w:r>
      <w:r w:rsidR="009204EE" w:rsidRPr="001177AF">
        <w:rPr>
          <w:lang w:val="en-GB"/>
        </w:rPr>
        <w:t xml:space="preserve"> have been widely used for motion </w:t>
      </w:r>
      <w:r w:rsidR="00BD2F7F" w:rsidRPr="001177AF">
        <w:rPr>
          <w:lang w:val="en-GB"/>
        </w:rPr>
        <w:t>analysis and</w:t>
      </w:r>
      <w:r w:rsidR="00C5500A" w:rsidRPr="001177AF">
        <w:rPr>
          <w:lang w:val="en-GB"/>
        </w:rPr>
        <w:t xml:space="preserve"> are</w:t>
      </w:r>
      <w:r w:rsidR="009204EE" w:rsidRPr="001177AF">
        <w:rPr>
          <w:lang w:val="en-GB"/>
        </w:rPr>
        <w:t xml:space="preserve"> the most frequently used </w:t>
      </w:r>
      <w:r w:rsidR="00C5500A" w:rsidRPr="001177AF">
        <w:rPr>
          <w:lang w:val="en-GB"/>
        </w:rPr>
        <w:t xml:space="preserve">sensor </w:t>
      </w:r>
      <w:r w:rsidR="009204EE" w:rsidRPr="001177AF">
        <w:rPr>
          <w:lang w:val="en-GB"/>
        </w:rPr>
        <w:t>in PD studies</w:t>
      </w:r>
      <w:r w:rsidR="004F6E46" w:rsidRPr="001177AF">
        <w:rPr>
          <w:lang w:val="en-GB"/>
        </w:rPr>
        <w:t xml:space="preserve"> </w:t>
      </w:r>
      <w:r w:rsidR="004F6E46" w:rsidRPr="001177AF">
        <w:rPr>
          <w:lang w:val="en-GB"/>
        </w:rPr>
        <w:fldChar w:fldCharType="begin"/>
      </w:r>
      <w:r w:rsidR="00726C10" w:rsidRPr="001177AF">
        <w:rPr>
          <w:lang w:val="en-GB"/>
        </w:rPr>
        <w:instrText>ADDIN F1000_CSL_CITATION&lt;~#@#~&gt;[{"DOI":"10.3389/fnins.2017.00555","First":false,"Last":false,"PMCID":"PMC5635326","PMID":"29056899","abstract":"Background: Parkinson's disease (PD) is a common and disabling pathology that is characterized by both motor and non-motor symptoms and affects millions of people worldwide. The disease significantly affects quality of life of those affected. Many works in literature discuss the effects of the disease. The most promising trends involve sensor devices, which are low cost, low power, unobtrusive, and accurate in the measurements, for monitoring and managing the pathology.&lt;br&gt;&lt;br&gt;&lt;strong&gt;OBJECTIVES:&lt;/strong&gt; This review focuses on wearable devices for PD applications and identifies five main fields: early diagnosis, tremor, body motion analysis, motor fluctuations (ON-OFF phases), and home and long-term monitoring. The concept is to obtain an overview of the pathology at each stage of development, from the beginning of the disease to consider early symptoms, during disease progression with analysis of the most common disorders, and including management of the most complicated situations (i.e., motor fluctuations and long-term remote monitoring).&lt;br&gt;&lt;br&gt;&lt;strong&gt;DATA SOURCES:&lt;/strong&gt; The research was conducted within three databases: IEEE Xplore®, Science Direct®, and PubMed Central®, between January 2006 and December 2016.&lt;br&gt;&lt;br&gt;&lt;strong&gt;STUDY ELIGIBILITY CRITERIA:&lt;/strong&gt; Since 1,429 articles were found, accurate definition of the exclusion criteria and selection strategy allowed identification of the most relevant papers.&lt;br&gt;&lt;br&gt;&lt;strong&gt;RESULTS:&lt;/strong&gt; Finally, 136 papers were fully evaluated and included in this review, allowing a wide overview of wearable devices for the management of Parkinson's disease.","author":[{"family":"Rovini","given":"Erika"},{"family":"Maremmani","given":"Carlo"},{"family":"Cavallo","given":"Filippo"}],"authorYearDisplayFormat":false,"citation-label":"4426578","container-title":"Frontiers in Neuroscience","container-title-short":"Front. Neurosci.","id":"4426578","invisible":false,"issued":{"date-parts":[["2017","10","6"]]},"journalAbbreviation":"Front. Neurosci.","page":"555","suppress-author":false,"title":"How wearable sensors can support parkinson's disease diagnosis and treatment: A systematic review.","type":"article-journal","volume":"11"}]</w:instrText>
      </w:r>
      <w:r w:rsidR="004F6E46" w:rsidRPr="001177AF">
        <w:rPr>
          <w:lang w:val="en-GB"/>
        </w:rPr>
        <w:fldChar w:fldCharType="separate"/>
      </w:r>
      <w:r w:rsidR="00726C10" w:rsidRPr="001177AF">
        <w:rPr>
          <w:noProof/>
          <w:lang w:val="en-GB"/>
        </w:rPr>
        <w:t>(33)</w:t>
      </w:r>
      <w:r w:rsidR="004F6E46" w:rsidRPr="001177AF">
        <w:rPr>
          <w:lang w:val="en-GB"/>
        </w:rPr>
        <w:fldChar w:fldCharType="end"/>
      </w:r>
      <w:r w:rsidR="009204EE" w:rsidRPr="001177AF">
        <w:rPr>
          <w:lang w:val="en-GB"/>
        </w:rPr>
        <w:t>.</w:t>
      </w:r>
      <w:r w:rsidR="00F24913" w:rsidRPr="001177AF">
        <w:rPr>
          <w:lang w:val="en-GB"/>
        </w:rPr>
        <w:t xml:space="preserve"> </w:t>
      </w:r>
      <w:proofErr w:type="gramStart"/>
      <w:r w:rsidR="00E3395F" w:rsidRPr="001177AF">
        <w:rPr>
          <w:lang w:val="en-GB"/>
        </w:rPr>
        <w:t>Due to the fact that</w:t>
      </w:r>
      <w:proofErr w:type="gramEnd"/>
      <w:r w:rsidR="00E3395F" w:rsidRPr="001177AF">
        <w:rPr>
          <w:lang w:val="en-GB"/>
        </w:rPr>
        <w:t xml:space="preserve"> a large number of motor-UPDRS questions are directly related to particular gait and postural instability symptoms, this domain has received the most attention from IMU sensor-based research. Unlike more complex methods such as walking carpets, IMU sensors provide </w:t>
      </w:r>
      <w:r w:rsidR="001A367B" w:rsidRPr="001177AF">
        <w:rPr>
          <w:lang w:val="en-GB"/>
        </w:rPr>
        <w:t>high-resolution</w:t>
      </w:r>
      <w:r w:rsidR="00E3395F" w:rsidRPr="001177AF">
        <w:rPr>
          <w:lang w:val="en-GB"/>
        </w:rPr>
        <w:t xml:space="preserve"> data with low cost and ease of use.</w:t>
      </w:r>
    </w:p>
    <w:p w14:paraId="65EC67F6" w14:textId="12390AF9" w:rsidR="00C96E51" w:rsidRPr="001177AF" w:rsidRDefault="007D5D81" w:rsidP="002920C7">
      <w:pPr>
        <w:spacing w:line="360" w:lineRule="auto"/>
        <w:jc w:val="both"/>
        <w:rPr>
          <w:lang w:val="en-GB"/>
        </w:rPr>
      </w:pPr>
      <w:r w:rsidRPr="001177AF">
        <w:rPr>
          <w:lang w:val="en-GB"/>
        </w:rPr>
        <w:t>Most of the</w:t>
      </w:r>
      <w:r w:rsidR="008E11CE" w:rsidRPr="001177AF">
        <w:rPr>
          <w:lang w:val="en-GB"/>
        </w:rPr>
        <w:t xml:space="preserve"> research on DB</w:t>
      </w:r>
      <w:r w:rsidR="004801EC" w:rsidRPr="001177AF">
        <w:rPr>
          <w:lang w:val="en-GB"/>
        </w:rPr>
        <w:t>s</w:t>
      </w:r>
      <w:r w:rsidR="008E11CE" w:rsidRPr="001177AF">
        <w:rPr>
          <w:lang w:val="en-GB"/>
        </w:rPr>
        <w:t xml:space="preserve"> for PD focuses on discovering features that can differentiate between PD and </w:t>
      </w:r>
      <w:r w:rsidR="005C6B30" w:rsidRPr="001177AF">
        <w:rPr>
          <w:lang w:val="en-GB"/>
        </w:rPr>
        <w:t>Healthy Control (</w:t>
      </w:r>
      <w:r w:rsidR="008E11CE" w:rsidRPr="001177AF">
        <w:rPr>
          <w:lang w:val="en-GB"/>
        </w:rPr>
        <w:t>HC</w:t>
      </w:r>
      <w:r w:rsidR="005C6B30" w:rsidRPr="001177AF">
        <w:rPr>
          <w:lang w:val="en-GB"/>
        </w:rPr>
        <w:t>)</w:t>
      </w:r>
      <w:r w:rsidR="008E11CE" w:rsidRPr="001177AF">
        <w:rPr>
          <w:lang w:val="en-GB"/>
        </w:rPr>
        <w:t xml:space="preserve"> </w:t>
      </w:r>
      <w:r w:rsidR="007704A1" w:rsidRPr="001177AF">
        <w:rPr>
          <w:lang w:val="en-GB"/>
        </w:rPr>
        <w:t xml:space="preserve">and correlating these features to clinical </w:t>
      </w:r>
      <w:r w:rsidR="008E11CE" w:rsidRPr="001177AF">
        <w:rPr>
          <w:lang w:val="en-GB"/>
        </w:rPr>
        <w:t xml:space="preserve">scores such as the </w:t>
      </w:r>
      <w:r w:rsidR="007704A1" w:rsidRPr="001177AF">
        <w:rPr>
          <w:lang w:val="en-GB"/>
        </w:rPr>
        <w:t>MDS-</w:t>
      </w:r>
      <w:r w:rsidR="008E11CE" w:rsidRPr="001177AF">
        <w:rPr>
          <w:lang w:val="en-GB"/>
        </w:rPr>
        <w:t>UPDRS. In addition, it is desired to have clinical</w:t>
      </w:r>
      <w:r w:rsidR="00BD038A" w:rsidRPr="001177AF">
        <w:rPr>
          <w:lang w:val="en-GB"/>
        </w:rPr>
        <w:t xml:space="preserve">ly accepted </w:t>
      </w:r>
      <w:r w:rsidR="008E11CE" w:rsidRPr="001177AF">
        <w:rPr>
          <w:lang w:val="en-GB"/>
        </w:rPr>
        <w:t>and interpretable features that can</w:t>
      </w:r>
      <w:r w:rsidR="00C96E51" w:rsidRPr="001177AF">
        <w:rPr>
          <w:lang w:val="en-GB"/>
        </w:rPr>
        <w:t xml:space="preserve"> also</w:t>
      </w:r>
      <w:r w:rsidR="008E11CE" w:rsidRPr="001177AF">
        <w:rPr>
          <w:lang w:val="en-GB"/>
        </w:rPr>
        <w:t xml:space="preserve"> identify symptom severity and medication state (on/off)</w:t>
      </w:r>
      <w:r w:rsidR="001A60DD" w:rsidRPr="001177AF">
        <w:rPr>
          <w:lang w:val="en-GB"/>
        </w:rPr>
        <w:t xml:space="preserve"> </w:t>
      </w:r>
      <w:r w:rsidR="001A60DD" w:rsidRPr="001177AF">
        <w:rPr>
          <w:color w:val="000000" w:themeColor="text1"/>
          <w:lang w:val="en-GB"/>
        </w:rPr>
        <w:t xml:space="preserve">(for </w:t>
      </w:r>
      <w:r w:rsidR="00B13C80" w:rsidRPr="001177AF">
        <w:rPr>
          <w:color w:val="000000" w:themeColor="text1"/>
          <w:lang w:val="en-GB"/>
        </w:rPr>
        <w:t xml:space="preserve">a </w:t>
      </w:r>
      <w:r w:rsidR="00B06427" w:rsidRPr="001177AF">
        <w:rPr>
          <w:color w:val="000000" w:themeColor="text1"/>
          <w:lang w:val="en-GB"/>
        </w:rPr>
        <w:t xml:space="preserve">detailed </w:t>
      </w:r>
      <w:r w:rsidR="001A60DD" w:rsidRPr="001177AF">
        <w:rPr>
          <w:color w:val="000000" w:themeColor="text1"/>
          <w:lang w:val="en-GB"/>
        </w:rPr>
        <w:t xml:space="preserve">review </w:t>
      </w:r>
      <w:r w:rsidR="00BD038A" w:rsidRPr="001177AF">
        <w:rPr>
          <w:color w:val="000000" w:themeColor="text1"/>
          <w:lang w:val="en-GB"/>
        </w:rPr>
        <w:t>see</w:t>
      </w:r>
      <w:r w:rsidR="002C1FE8" w:rsidRPr="001177AF">
        <w:rPr>
          <w:color w:val="000000" w:themeColor="text1"/>
          <w:lang w:val="en-GB"/>
        </w:rPr>
        <w:t xml:space="preserve"> </w:t>
      </w:r>
      <w:r w:rsidR="002C1FE8" w:rsidRPr="001177AF">
        <w:rPr>
          <w:color w:val="000000" w:themeColor="text1"/>
          <w:lang w:val="en-GB"/>
        </w:rPr>
        <w:fldChar w:fldCharType="begin"/>
      </w:r>
      <w:r w:rsidR="00726C10" w:rsidRPr="001177AF">
        <w:rPr>
          <w:color w:val="000000" w:themeColor="text1"/>
          <w:lang w:val="en-GB"/>
        </w:rPr>
        <w:instrText>ADDIN F1000_CSL_CITATION&lt;~#@#~&gt;[{"DOI":"10.3389/fnins.2017.00555","First":false,"Last":false,"PMCID":"PMC5635326","PMID":"29056899","abstract":"Background: Parkinson's disease (PD) is a common and disabling pathology that is characterized by both motor and non-motor symptoms and affects millions of people worldwide. The disease significantly affects quality of life of those affected. Many works in literature discuss the effects of the disease. The most promising trends involve sensor devices, which are low cost, low power, unobtrusive, and accurate in the measurements, for monitoring and managing the pathology.&lt;br&gt;&lt;br&gt;&lt;strong&gt;OBJECTIVES:&lt;/strong&gt; This review focuses on wearable devices for PD applications and identifies five main fields: early diagnosis, tremor, body motion analysis, motor fluctuations (ON-OFF phases), and home and long-term monitoring. The concept is to obtain an overview of the pathology at each stage of development, from the beginning of the disease to consider early symptoms, during disease progression with analysis of the most common disorders, and including management of the most complicated situations (i.e., motor fluctuations and long-term remote monitoring).&lt;br&gt;&lt;br&gt;&lt;strong&gt;DATA SOURCES:&lt;/strong&gt; The research was conducted within three databases: IEEE Xplore®, Science Direct®, and PubMed Central®, between January 2006 and December 2016.&lt;br&gt;&lt;br&gt;&lt;strong&gt;STUDY ELIGIBILITY CRITERIA:&lt;/strong&gt; Since 1,429 articles were found, accurate definition of the exclusion criteria and selection strategy allowed identification of the most relevant papers.&lt;br&gt;&lt;br&gt;&lt;strong&gt;RESULTS:&lt;/strong&gt; Finally, 136 papers were fully evaluated and included in this review, allowing a wide overview of wearable devices for the management of Parkinson's disease.","author":[{"family":"Rovini","given":"Erika"},{"family":"Maremmani","given":"Carlo"},{"family":"Cavallo","given":"Filippo"}],"authorYearDisplayFormat":false,"citation-label":"4426578","container-title":"Frontiers in Neuroscience","container-title-short":"Front. Neurosci.","id":"4426578","invisible":false,"issued":{"date-parts":[["2017","10","6"]]},"journalAbbreviation":"Front. Neurosci.","page":"555","suppress-author":false,"title":"How wearable sensors can support parkinson's disease diagnosis and treatment: A systematic review.","type":"article-journal","volume":"11"}]</w:instrText>
      </w:r>
      <w:r w:rsidR="002C1FE8" w:rsidRPr="001177AF">
        <w:rPr>
          <w:color w:val="000000" w:themeColor="text1"/>
          <w:lang w:val="en-GB"/>
        </w:rPr>
        <w:fldChar w:fldCharType="separate"/>
      </w:r>
      <w:r w:rsidR="00726C10" w:rsidRPr="001177AF">
        <w:rPr>
          <w:noProof/>
          <w:color w:val="000000" w:themeColor="text1"/>
          <w:lang w:val="en-GB"/>
        </w:rPr>
        <w:t>(33)</w:t>
      </w:r>
      <w:r w:rsidR="002C1FE8" w:rsidRPr="001177AF">
        <w:rPr>
          <w:color w:val="000000" w:themeColor="text1"/>
          <w:lang w:val="en-GB"/>
        </w:rPr>
        <w:fldChar w:fldCharType="end"/>
      </w:r>
      <w:r w:rsidR="001A60DD" w:rsidRPr="001177AF">
        <w:rPr>
          <w:color w:val="000000" w:themeColor="text1"/>
          <w:lang w:val="en-GB"/>
        </w:rPr>
        <w:t>)</w:t>
      </w:r>
      <w:r w:rsidR="008E11CE" w:rsidRPr="001177AF">
        <w:rPr>
          <w:color w:val="000000" w:themeColor="text1"/>
          <w:lang w:val="en-GB"/>
        </w:rPr>
        <w:t xml:space="preserve">. </w:t>
      </w:r>
    </w:p>
    <w:p w14:paraId="44032F2D" w14:textId="15BD5E1E" w:rsidR="007230BC" w:rsidRPr="001177AF" w:rsidRDefault="008E11CE" w:rsidP="002920C7">
      <w:pPr>
        <w:spacing w:line="360" w:lineRule="auto"/>
        <w:jc w:val="both"/>
        <w:rPr>
          <w:lang w:val="en-GB"/>
        </w:rPr>
      </w:pPr>
      <w:r w:rsidRPr="001177AF">
        <w:rPr>
          <w:lang w:val="en-GB"/>
        </w:rPr>
        <w:t xml:space="preserve">In this regard, </w:t>
      </w:r>
      <w:r w:rsidR="004451F0" w:rsidRPr="001177AF">
        <w:rPr>
          <w:lang w:val="en-GB"/>
        </w:rPr>
        <w:t>f</w:t>
      </w:r>
      <w:r w:rsidR="008C4C6F" w:rsidRPr="001177AF">
        <w:rPr>
          <w:lang w:val="en-GB"/>
        </w:rPr>
        <w:t>eatures such as</w:t>
      </w:r>
      <w:r w:rsidR="008B07B2" w:rsidRPr="001177AF">
        <w:rPr>
          <w:lang w:val="en-GB"/>
        </w:rPr>
        <w:t xml:space="preserve"> </w:t>
      </w:r>
      <w:r w:rsidR="00CE14AA" w:rsidRPr="001177AF">
        <w:rPr>
          <w:lang w:val="en-GB"/>
        </w:rPr>
        <w:t xml:space="preserve">the </w:t>
      </w:r>
      <w:r w:rsidR="008B07B2" w:rsidRPr="001177AF">
        <w:rPr>
          <w:lang w:val="en-GB"/>
        </w:rPr>
        <w:t xml:space="preserve">number </w:t>
      </w:r>
      <w:r w:rsidR="007D5D81" w:rsidRPr="001177AF">
        <w:rPr>
          <w:lang w:val="en-GB"/>
        </w:rPr>
        <w:t xml:space="preserve">and </w:t>
      </w:r>
      <w:r w:rsidR="008B07B2" w:rsidRPr="001177AF">
        <w:rPr>
          <w:lang w:val="en-GB"/>
        </w:rPr>
        <w:t>symmetry of steps</w:t>
      </w:r>
      <w:r w:rsidR="00BF4E5D" w:rsidRPr="001177AF">
        <w:rPr>
          <w:lang w:val="en-GB"/>
        </w:rPr>
        <w:t>,</w:t>
      </w:r>
      <w:r w:rsidR="008C4C6F" w:rsidRPr="001177AF">
        <w:rPr>
          <w:lang w:val="en-GB"/>
        </w:rPr>
        <w:t xml:space="preserve"> </w:t>
      </w:r>
      <w:r w:rsidR="00C5500A" w:rsidRPr="001177AF">
        <w:rPr>
          <w:lang w:val="en-GB"/>
        </w:rPr>
        <w:t>gait</w:t>
      </w:r>
      <w:r w:rsidR="008C4C6F" w:rsidRPr="001177AF">
        <w:rPr>
          <w:lang w:val="en-GB"/>
        </w:rPr>
        <w:t xml:space="preserve"> speed, cadence, </w:t>
      </w:r>
      <w:r w:rsidR="0028042D" w:rsidRPr="001177AF">
        <w:rPr>
          <w:lang w:val="en-GB"/>
        </w:rPr>
        <w:t>gait variability</w:t>
      </w:r>
      <w:r w:rsidR="008B07B2" w:rsidRPr="001177AF">
        <w:rPr>
          <w:lang w:val="en-GB"/>
        </w:rPr>
        <w:t xml:space="preserve">, </w:t>
      </w:r>
      <w:r w:rsidR="007D5D81" w:rsidRPr="001177AF">
        <w:rPr>
          <w:lang w:val="en-GB"/>
        </w:rPr>
        <w:t xml:space="preserve">and </w:t>
      </w:r>
      <w:r w:rsidR="0028042D" w:rsidRPr="001177AF">
        <w:rPr>
          <w:lang w:val="en-GB"/>
        </w:rPr>
        <w:t>freezing of gait</w:t>
      </w:r>
      <w:r w:rsidR="00C5500A" w:rsidRPr="001177AF">
        <w:rPr>
          <w:lang w:val="en-GB"/>
        </w:rPr>
        <w:t xml:space="preserve"> are among the most frequently </w:t>
      </w:r>
      <w:r w:rsidRPr="001177AF">
        <w:rPr>
          <w:lang w:val="en-GB"/>
        </w:rPr>
        <w:t>reported</w:t>
      </w:r>
      <w:r w:rsidR="00C5500A" w:rsidRPr="001177AF">
        <w:rPr>
          <w:lang w:val="en-GB"/>
        </w:rPr>
        <w:t xml:space="preserve"> features for gait analysis</w:t>
      </w:r>
      <w:r w:rsidR="00761E84" w:rsidRPr="001177AF">
        <w:rPr>
          <w:lang w:val="en-GB"/>
        </w:rPr>
        <w:t xml:space="preserve"> </w:t>
      </w:r>
      <w:r w:rsidR="00761E84" w:rsidRPr="001177AF">
        <w:rPr>
          <w:lang w:val="en-GB"/>
        </w:rPr>
        <w:fldChar w:fldCharType="begin"/>
      </w:r>
      <w:r w:rsidR="00726C10" w:rsidRPr="001177AF">
        <w:rPr>
          <w:lang w:val="en-GB"/>
        </w:rPr>
        <w:instrText>ADDIN F1000_CSL_CITATION&lt;~#@#~&gt;[{"DOI":"10.1063/1.3147408","First":false,"Last":false,"PMCID":"PMC2719464","PMID":"19566273","abstract":"Parkinson's disease (PD) is a common, debilitating neurodegenerative disease. Gait disturbances are a frequent cause of disability and impairment for patients with PD. This article provides a brief introduction to PD and describes the gait changes typically seen in patients with this disease. A major focus of this report is an update on the study of the fractal properties of gait in PD, the relationship between this feature of gait and stride length and gait variability, and the effects of different experimental conditions on these three gait properties. Implications of these findings are also briefly described. This update highlights the idea that while stride length, gait variability, and fractal scaling of gait are all impaired in PD, distinct mechanisms likely contribute to and are responsible for the regulation of these disparate gait properties.","author":[{"family":"Hausdorff","given":"Jeffrey M"}],"authorYearDisplayFormat":false,"citation-label":"4262277","container-title":"Chaos","container-title-short":"Chaos","id":"4262277","invisible":false,"issue":"2","issued":{"date-parts":[["2009","6"]]},"journalAbbreviation":"Chaos","page":"026113","suppress-author":false,"title":"Gait dynamics in Parkinson's disease: common and distinct behavior among stride length, gait variability, and fractal-like scaling.","type":"article-journal","volume":"19"},{"DOI":"10.1371/journal.pone.0183989","First":false,"Last":false,"PMCID":"PMC5636070","PMID":"29020012","abstract":"Distinct gait characteristics like short steps and shuffling gait are prototypical signs commonly observed in Parkinson's disease. Routinely assessed by observation through clinicians, gait is rated as part of categorical clinical scores. There is an increasing need to provide quantitative measurements of gait, e.g. to provide detailed information about disease progression. Recently, we developed a wearable sensor-based gait analysis system as diagnostic tool that objectively assesses gait parameter in Parkinson's disease without the need of having a specialized gait laboratory. This system consists of inertial sensor units attached laterally to both shoes. The computed target of measures are spatiotemporal gait parameters including stride length and time, stance phase time, heel-strike and toe-off angle, toe clearance, and inter-stride variation from gait sequences. To translate this prototype into medical care, we conducted a cross-sectional study including 190 Parkinson's disease patients and 101 age-matched controls and measured gait characteristics during a 4x10 meter walk at the subjects' preferred speed. To determine intraindividual changes in gait, we monitored the gait characteristics of 63 patients longitudinally. Cross-sectional analysis revealed distinct spatiotemporal gait parameter differences reflecting typical Parkinson's disease gait characteristics including short steps, shuffling gait, and postural instability specific for different disease stages and levels of motor impairment. The longitudinal analysis revealed that gait parameters were sensitive to changes by mirroring the progressive nature of Parkinson's disease and corresponded to physician ratings. Taken together, we successfully show that wearable sensor-based gait analysis reaches clinical applicability providing a high biomechanical resolution for gait impairment in Parkinson's disease. These data demonstrate the feasibility and applicability of objective wearable sensor-based gait measurement in Parkinson's disease reaching high technological readiness levels for both, large scale clinical studies and individual patient care.","author":[{"family":"Schlachetzki","given":"Johannes C M"},{"family":"Barth","given":"Jens"},{"family":"Marxreiter","given":"Franz"},{"family":"Gossler","given":"Julia"},{"family":"Kohl","given":"Zacharias"},{"family":"Reinfelder","given":"Samuel"},{"family":"Gassner","given":"Heiko"},{"family":"Aminian","given":"Kamiar"},{"family":"Eskofier","given":"Bjoern M"},{"family":"Winkler","given":"Jürgen"},{"family":"Klucken","given":"Jochen"}],"authorYearDisplayFormat":false,"citation-label":"7452900","container-title":"Plos One","container-title-short":"PLoS ONE","id":"7452900","invisible":false,"issue":"10","issued":{"date-parts":[["2017","10","11"]]},"journalAbbreviation":"PLoS ONE","page":"e0183989","suppress-author":false,"title":"Wearable sensors objectively measure gait parameters in Parkinson's disease.","type":"article-journal","volume":"12"},{"DOI":"10.1002/mds.25684","First":false,"Last":false,"PMCID":"PMC3927718","PMID":"24132842","abstract":"Balance and gait impairments characterize the progression of Parkinson's disease (PD), predict the risk of falling, and are important contributors to reduced quality of life. Advances in technology of small, body-worn, inertial sensors have made it possible to develop quick, objective measures of balance and gait impairments in the clinic for research trials and clinical practice. Objective balance and gait metrics may eventually provide useful biomarkers for PD. In fact, objective balance and gait measures are already being used as surrogate endpoints for demonstrating clinical efficacy of new treatments, in place of counting falls from diaries, using stop-watch measures of gait speed, or clinical balance rating scales. This review summarizes the types of objective measures available from body-worn sensors. The metrics are organized based on the neural control system for mobility affected by PD: postural stability in stance, postural responses, gait initiation, gait (temporal-spatial lower and upper body coordination and dynamic equilibrium), postural transitions, and freezing of gait. However, the explosion of metrics derived by wearable sensors during prescribed balance and gait tasks, which are abnormal in individuals with PD, do not yet qualify as behavioral biomarkers, because many balance and gait impairments observed in PD are not specific to the disease, nor have they been related to specific pathophysiologic biomarkers. In the future, the most useful balance and gait biomarkers for PD will be those that are sensitive and specific for early PD and are related to the underlying disease process.&lt;br&gt;&lt;br&gt;© 2013 Movement Disorder Society.","author":[{"family":"Horak","given":"Fay B"},{"family":"Mancini","given":"Martina"}],"authorYearDisplayFormat":false,"citation-label":"3376380","container-title":"Movement Disorders","container-title-short":"Mov. Disord.","id":"3376380","invisible":false,"issue":"11","issued":{"date-parts":[["2013","9","15"]]},"journalAbbreviation":"Mov. Disord.","page":"1544-1551","suppress-author":false,"title":"Objective biomarkers of balance and gait for Parkinson's disease using body-worn sensors.","type":"article-journal","volume":"28"},{"DOI":"10.1109/TBME.2014.2368211","First":false,"Last":false,"PMID":"25389237","abstract":"A detailed and quantitative gait analysis can provide evidence of various gait impairments in elderly people. To provide an objective decision-making basis for gait analysis, simple applicable tests analyzing a high number of strides are required. A mobile gait analysis system, which is mounted on shoes, can fulfill these requirements. This paper presents a method for computing clinically relevant temporal and spatial gait parameters. Therefore, an accelerometer and a gyroscope were positioned laterally below each ankle joint. Temporal gait events were detected by searching for characteristic features in the signals. To calculate stride length, the gravity compensated accelerometer signal was double integrated, and sensor drift was modeled using a piece-wise defined linear function. The presented method was validated using GAITRite-based gait parameters from 101 patients (average age 82.1 years). Subjects performed a normal walking test with and without a wheeled walker. The parameters stride length and stride time showed a correlation of 0.93 and 0.95 between both systems. The absolute error of stride length was 6.26 cm on normal walking test. The developed system as well as the GAITRite showed an increased stride length, when using a four-wheeled walker as walking aid. However, the walking aid interfered with the automated analysis of the GAITRite system, but not with the inertial sensor-based approach. In summary, an algorithm for the calculation of clinically relevant gait parameters derived from inertial sensors is applicable in the diagnostic workup and also during long-term monitoring approaches in the elderly population.","author":[{"family":"Rampp","given":"Alexander"},{"family":"Barth","given":"Jens"},{"family":"Schülein","given":"Samuel"},{"family":"Gaßmann","given":"Karl-Günter"},{"family":"Klucken","given":"Jochen"},{"family":"Eskofier","given":"Björn M"}],"authorYearDisplayFormat":false,"citation-label":"6489108","container-title":"IEEE Transactions on Bio-Medical Engineering","container-title-short":"IEEE Trans Biomed Eng","id":"6489108","invisible":false,"issue":"4","issued":{"date-parts":[["2015","4"]]},"journalAbbreviation":"IEEE Trans Biomed Eng","page":"1089-1097","suppress-author":false,"title":"Inertial sensor-based stride parameter calculation from gait sequences in geriatric patients.","type":"article-journal","volume":"62"},{"DOI":"10.5535/arm.2018.42.6.872","First":false,"Last":false,"PMCID":"PMC6325313","PMID":"30613081","abstract":"&lt;strong&gt;OBJECTIVE:&lt;/strong&gt; To replace camera-based three-dimensional motion analyzers which are widely used to analyze body movements and gait but are also costly and require a large dedicated space, this study evaluates the validity and reliability of inertial measurement unit (IMU)-based systems by analyzing their spatio-temporal and kinematic measurement parameters.&lt;br&gt;&lt;br&gt;&lt;strong&gt;METHODS:&lt;/strong&gt; The investigation was conducted in three separate hospitals with three healthy participants. IMUs were attached to the abdomen as well as the thigh, shank, and foot of both legs of each participant. Each participant then completed a 10-m gait course 10 times. During each gait cycle, the hips, knees, and ankle joints were observed from the sagittal, frontal, and transverse planes. The experiments were conducted with both a camerabased system and an IMU-based system. The measured gait analysis data were evaluated for validity and reliability using root mean square error (RMSE) and intraclass correlation coefficient (ICC) analyses.&lt;br&gt;&lt;br&gt;&lt;strong&gt;RESULTS:&lt;/strong&gt; The differences between the RMSE values of the two systems determined through kinematic parameters ranged from a minimum of 1.83 to a maximum of 3.98 with a tolerance close to 1%. The results of this study also confirmed the reliability of the IMU-based system, and all of the variables showed a statistically high ICC.&lt;br&gt;&lt;br&gt;&lt;strong&gt;CONCLUSION:&lt;/strong&gt; These results confirmed that IMU-based systems can reliably replace camera-based systems for clinical body motion and gait analyses.","author":[{"family":"Cho","given":"Young-Shin"},{"family":"Jang","given":"Seong-Ho"},{"family":"Cho","given":"Jae-Sung"},{"family":"Kim","given":"Mi-Jung"},{"family":"Lee","given":"Hyeok Dong"},{"family":"Lee","given":"Sung Young"},{"family":"Moon","given":"Sang-Bok"}],"authorYearDisplayFormat":false,"citation-label":"9337464","container-title":"Annals of rehabilitation medicine","container-title-short":"Ann. Rehabil. Med.","id":"9337464","invisible":false,"issue":"6","issued":{"date-parts":[["2018","12","28"]]},"journalAbbreviation":"Ann. Rehabil. Med.","page":"872-883","suppress-author":false,"title":"Evaluation of Validity and Reliability of Inertial Measurement Unit-Based Gait Analysis Systems.","type":"article-journal","volume":"42"},{"DOI":"10.1109/TNSRE.2013.2265887","First":false,"Last":false,"PMCID":"PMC4107930","PMID":"23751971","abstract":"Gait accelerometry is a promising tool to assess human walking and reveal deteriorating gait characteristics in patients and can be a rich source of clinically relevant information about functional declines in older adults. Therefore, in this paper, we present a comprehensive set of signal features that may be used to extract clinically valuable information from gait accelerometry signals. To achieve our goal, we collected tri-axial gait accelerometry signals from 35 adults 65 years of age and older. Fourteen subjects were healthy controls, 10 participants were diagnosed with Parkinson's disease, and 11 participants were diagnosed with peripheral neuropathy. The data were collected while the participants walked on a treadmill at a preferred walking speed. Accelerometer signal features in time, frequency and time-frequency domains were extracted. The results of our analysis showed that some of the extracted features were able to differentiate between healthy and clinical populations. Signal features in all three domains were able to emphasize variability among different groups, and also revealed valuable information about variability of the signals between anterior-posterior, mediolateral, and vertical directions within subjects. The current results imply that the proposed signal features can be valuable tools for the analysis of gait accelerometry data and should be utilized in future studies.","author":[{"family":"Sejdić","given":"Ervin"},{"family":"Lowry","given":"Kristin A"},{"family":"Bellanca","given":"Jennica"},{"family":"Redfern","given":"Mark S"},{"family":"Brach","given":"Jennifer S"}],"authorYearDisplayFormat":false,"citation-label":"5373581","container-title":"IEEE Transactions on Neural Systems and Rehabilitation Engineering","container-title-short":"IEEE Trans. Neural Syst. Rehabil. Eng.","id":"5373581","invisible":false,"issue":"3","issued":{"date-parts":[["2014","5"]]},"journalAbbreviation":"IEEE Trans. Neural Syst. Rehabil. Eng.","page":"603-612","suppress-author":false,"title":"A comprehensive assessment of gait accelerometry signals in time, frequency and time-frequency domains.","type":"article-journal","volume":"22"},{"DOI":"10.3390/s140304618","First":false,"Last":false,"PMCID":"PMC4003960","PMID":"24608005","abstract":"Parkinson's disease (PD) alters the motor performance of affected individuals. The dopaminergic denervation of the striatum, due to substantia nigra neuronal loss, compromises the speed, the automatism and smoothness of movements of PD patients. The development of a reliable tool for long-term monitoring of PD symptoms would allow the accurate assessment of the clinical status during the different PD stages and the evaluation of motor complications. Furthermore, it would be very useful both for routine clinical care as well as for testing novel therapies. Within this context we have validated the feasibility of using a Body Network Area (BAN) of wireless accelerometers to perform continuous at home gait monitoring of PD patients. The analysis addresses the assessment of the system performance working in real environments.","author":[{"family":"Cancela","given":"Jorge"},{"family":"Pastorino","given":"Matteo"},{"family":"Arredondo","given":"Maria T"},{"family":"Nikita","given":"Konstantina S"},{"family":"Villagra","given":"Federico"},{"family":"Pastor","given":"Maria A"}],"authorYearDisplayFormat":false,"citation-label":"9326630","container-title":"Sensors (Basel, Switzerland)","container-title-short":"Sensors","id":"9326630","invisible":false,"issue":"3","issued":{"date-parts":[["2014","3","7"]]},"journalAbbreviation":"Sensors","page":"4618-4633","suppress-author":false,"title":"Feasibility study of a wearable system based on a wireless body area network for gait assessment in Parkinson's disease patients.","type":"article-journal","volume":"14"},{"DOI":"10.3390/electronics8020119","First":false,"Last":false,"abstract":"&lt;p&gt;This paper focuses on detecting freezing of gait in Parkinson’s patients using body-worn accelerometers. In this study, we analyzed the robustness of four feature sets, two of which are new features adapted from speech processing: mel frequency cepstral coefficients and quality assessment metrics. For classification based on these features, we compared random forest, multilayer perceptron, hidden Markov models, and deep neural networks. These algorithms were evaluated using a leave-one-subject-out (LOSO) cross validation to match the situation where a system is being constructed for patients for whom there is no training data. This evaluation was performed using the Daphnet dataset, which includes recordings from ten patients using three accelerometers situated on the ankle, knee, and lower back. We obtained a reduction from 17.3% to 12.5% of the equal error rate compared to the previous best results using this dataset and LOSO testing. For high levels of sensitivity (such as 0.95), the specificity increased from 0.63 to 0.75. The biggest improvement across all of the feature sets and algorithms tested in this study was obtained by integrating information from longer periods of time in a deep neural network with convolutional layers.&lt;/p&gt;","author":[{"family":"San-Segundo","given":"Rubén"},{"family":"Torres-Sánchez","given":"Roque"},{"family":"Hodgins","given":"Jessica"},{"family":"De la Torre","given":"Fernando"}],"authorYearDisplayFormat":false,"citation-label":"9257384","container-title":"Electronics","container-title-short":"Electronics","id":"9257384","invisible":false,"issue":"2","issued":{"date-parts":[["2019","1","22"]]},"journalAbbreviation":"Electronics","page":"119","suppress-author":false,"title":"Increasing robustness in the detection of freezing of gait in parkinson’s disease","type":"article-journal","volume":"8"},{"DOI":"10.1109/TITB.2009.2036165","First":false,"Last":false,"PMID":"19906597","abstract":"In this paper, we present a wearable assistant for Parkinson's disease (PD) patients with the freezing of gait (FOG) symptom. This wearable system uses on-body acceleration sensors to measure the patients' movements. It automatically detects FOG by analyzing frequency components inherent in these movements. When FOG is detected, the assistant provides a rhythmic auditory signal that stimulates the patient to resume walking. Ten PD patients tested the system while performing several walking tasks in the laboratory. More than 8 h of data were recorded. Eight patients experienced FOG during the study, and 237 FOG events were identified by professional physiotherapists in a post hoc video analysis. Our wearable assistant was able to provide online assistive feedback for PD patients when they experienced FOG. The system detected FOG events online with a sensitivity of 73.1% and a specificity of 81.6%. The majority of patients indicated that the context-aware automatic cueing was beneficial to them. Finally, we characterize the system performance with respect to the walking style, the sensor placement, and the dominant algorithm parameters.","author":[{"family":"Bächlin","given":"Marc"},{"family":"Plotnik","given":"Meir"},{"family":"Roggen","given":"Daniel"},{"family":"Maidan","given":"Inbal"},{"family":"Hausdorff","given":"Jeffrey M"},{"family":"Giladi","given":"Nir"},{"family":"Tröster","given":"Gerhard"}],"authorYearDisplayFormat":false,"citation-label":"2596661","container-title":"IEEE transactions on information technology in biomedicine : a publication of the IEEE Engineering in Medicine and Biology Society","container-title-short":"IEEE Trans. Inf. Technol. Biomed.","id":"2596661","invisible":false,"issue":"2","issued":{"date-parts":[["2010","3"]]},"journalAbbreviation":"IEEE Trans. Inf. Technol. Biomed.","page":"436-446","suppress-author":false,"title":"Wearable assistant for Parkinson's disease patients with the freezing of gait symptom.","type":"article-journal","volume":"14"},{"DOI":"10.1016/0022-510x(90)90184-o","First":false,"Last":false,"PMID":"2230833","abstract":"Analysis of the spatio-temporal and kinematic parameters of locomotion recorded in 21 parkinsonian patients compared to 58 normal elderly subjects showed significant differences in all the recorded parameters. However the relationship between these parameters was preserved, as was the basic locomotor pattern. The variability of stride length, more marked in parkinsonian patients, increased as a function of the clinical stages of Hoehn and Yahr. This index could be useful in assessing the course of the disease in patients.","author":[{"family":"Blin","given":"O"},{"family":"Ferrandez","given":"A M"},{"family":"Serratrice","given":"G"}],"authorYearDisplayFormat":false,"citation-label":"6488760","container-title":"Journal of the Neurological Sciences","container-title-short":"J. Neurol. Sci.","id":"6488760","invisible":false,"issue":"1","issued":{"date-parts":[["1990","8"]]},"journalAbbreviation":"J. Neurol. Sci.","page":"91-97","suppress-author":false,"title":"Quantitative analysis of gait in Parkinson patients: increased variability of stride length.","type":"article-journal","volume":"98"}]</w:instrText>
      </w:r>
      <w:r w:rsidR="00761E84" w:rsidRPr="001177AF">
        <w:rPr>
          <w:lang w:val="en-GB"/>
        </w:rPr>
        <w:fldChar w:fldCharType="separate"/>
      </w:r>
      <w:r w:rsidR="00726C10" w:rsidRPr="001177AF">
        <w:rPr>
          <w:noProof/>
          <w:lang w:val="en-GB"/>
        </w:rPr>
        <w:t>(5,36–44)</w:t>
      </w:r>
      <w:r w:rsidR="00761E84" w:rsidRPr="001177AF">
        <w:rPr>
          <w:lang w:val="en-GB"/>
        </w:rPr>
        <w:fldChar w:fldCharType="end"/>
      </w:r>
      <w:r w:rsidR="00C5500A" w:rsidRPr="001177AF">
        <w:rPr>
          <w:lang w:val="en-GB"/>
        </w:rPr>
        <w:t>.</w:t>
      </w:r>
      <w:r w:rsidR="00380B8D" w:rsidRPr="001177AF">
        <w:rPr>
          <w:lang w:val="en-GB"/>
        </w:rPr>
        <w:t xml:space="preserve"> The</w:t>
      </w:r>
      <w:r w:rsidR="008B07B2" w:rsidRPr="001177AF">
        <w:rPr>
          <w:lang w:val="en-GB"/>
        </w:rPr>
        <w:t xml:space="preserve"> </w:t>
      </w:r>
      <w:r w:rsidR="0028042D" w:rsidRPr="001177AF">
        <w:rPr>
          <w:lang w:val="en-GB"/>
        </w:rPr>
        <w:t xml:space="preserve">jerkiness of posture, </w:t>
      </w:r>
      <w:r w:rsidR="0040496D" w:rsidRPr="001177AF">
        <w:rPr>
          <w:lang w:val="en-GB"/>
        </w:rPr>
        <w:t>high-frequency</w:t>
      </w:r>
      <w:r w:rsidR="0028042D" w:rsidRPr="001177AF">
        <w:rPr>
          <w:lang w:val="en-GB"/>
        </w:rPr>
        <w:t xml:space="preserve"> power, and total distance moved</w:t>
      </w:r>
      <w:r w:rsidR="008B07B2" w:rsidRPr="001177AF">
        <w:rPr>
          <w:lang w:val="en-GB"/>
        </w:rPr>
        <w:t xml:space="preserve"> are among the feature</w:t>
      </w:r>
      <w:r w:rsidR="00BD038A" w:rsidRPr="001177AF">
        <w:rPr>
          <w:lang w:val="en-GB"/>
        </w:rPr>
        <w:t>s</w:t>
      </w:r>
      <w:r w:rsidR="008B07B2" w:rsidRPr="001177AF">
        <w:rPr>
          <w:lang w:val="en-GB"/>
        </w:rPr>
        <w:t xml:space="preserve"> extracted for postural instability assessment</w:t>
      </w:r>
      <w:r w:rsidR="00326B04" w:rsidRPr="001177AF">
        <w:rPr>
          <w:lang w:val="en-GB"/>
        </w:rPr>
        <w:t xml:space="preserve"> </w:t>
      </w:r>
      <w:r w:rsidR="00326B04" w:rsidRPr="001177AF">
        <w:rPr>
          <w:lang w:val="en-GB"/>
        </w:rPr>
        <w:fldChar w:fldCharType="begin"/>
      </w:r>
      <w:r w:rsidR="00726C10" w:rsidRPr="001177AF">
        <w:rPr>
          <w:lang w:val="en-GB"/>
        </w:rPr>
        <w:instrText>ADDIN F1000_CSL_CITATION&lt;~#@#~&gt;[{"DOI":"10.1002/mds.25684","First":false,"Last":false,"PMCID":"PMC3927718","PMID":"24132842","abstract":"Balance and gait impairments characterize the progression of Parkinson's disease (PD), predict the risk of falling, and are important contributors to reduced quality of life. Advances in technology of small, body-worn, inertial sensors have made it possible to develop quick, objective measures of balance and gait impairments in the clinic for research trials and clinical practice. Objective balance and gait metrics may eventually provide useful biomarkers for PD. In fact, objective balance and gait measures are already being used as surrogate endpoints for demonstrating clinical efficacy of new treatments, in place of counting falls from diaries, using stop-watch measures of gait speed, or clinical balance rating scales. This review summarizes the types of objective measures available from body-worn sensors. The metrics are organized based on the neural control system for mobility affected by PD: postural stability in stance, postural responses, gait initiation, gait (temporal-spatial lower and upper body coordination and dynamic equilibrium), postural transitions, and freezing of gait. However, the explosion of metrics derived by wearable sensors during prescribed balance and gait tasks, which are abnormal in individuals with PD, do not yet qualify as behavioral biomarkers, because many balance and gait impairments observed in PD are not specific to the disease, nor have they been related to specific pathophysiologic biomarkers. In the future, the most useful balance and gait biomarkers for PD will be those that are sensitive and specific for early PD and are related to the underlying disease process.&lt;br&gt;&lt;br&gt;© 2013 Movement Disorder Society.","author":[{"family":"Horak","given":"Fay B"},{"family":"Mancini","given":"Martina"}],"authorYearDisplayFormat":false,"citation-label":"3376380","container-title":"Movement Disorders","container-title-short":"Mov. Disord.","id":"3376380","invisible":false,"issue":"11","issued":{"date-parts":[["2013","9","15"]]},"journalAbbreviation":"Mov. Disord.","page":"1544-1551","suppress-author":false,"title":"Objective biomarkers of balance and gait for Parkinson's disease using body-worn sensors.","type":"article-journal","volume":"28"},{"DOI":"10.1109/10.532130","First":false,"Last":false,"PMID":"9214811","abstract":"Measures of postural steadiness are used to characterize the dynamics of the postural control system associated with maintaining balance during quiet standing. The objective of this study was to evaluate the relative sensitivity of center-of-pressure (COP)-based measures to changes in postural steadiness related to age. A variety of time and frequency domain measures of postural steadiness were compared between a group of twenty healthy young adults (21-35 years) and a group of twenty healthy elderly adults (66-70 years) under both eyes-open and eyes-closed conditions. The measures that identified differences between the eyes-open and eyes-closed conditions in the young adult group were different than those that identified differences between the eye conditions in the elderly adult group. Mean velocity of the COP was the only measure that identified age-related changes in both eye conditions, and differences between eye conditions in both groups. The results of this study will be useful to researchers and clinicians using COP-based measures to evaluate postural steadiness.","author":[{"family":"Prieto","given":"T E"},{"family":"Myklebust","given":"J B"},{"family":"Hoffmann","given":"R G"},{"family":"Lovett","given":"E G"},{"family":"Myklebust","given":"B M"}],"authorYearDisplayFormat":false,"citation-label":"1040710","container-title":"IEEE Transactions on Bio-Medical Engineering","container-title-short":"IEEE Trans Biomed Eng","id":"1040710","invisible":false,"issue":"9","issued":{"date-parts":[["1996","9"]]},"journalAbbreviation":"IEEE Trans Biomed Eng","page":"956-966","suppress-author":false,"title":"Measures of postural steadiness: differences between healthy young and elderly adults.","type":"article-journal","volume":"43"},{"DOI":"10.1080/10255842.2011.565753","First":false,"Last":false,"PMID":"21547782","abstract":"The purpose of this study was to evaluate the sensitivity of 16 parameters derived from acceleration to detect changes caused by age and visual conditions during quiet standing and detect and minimise possible sources of unwanted variability that could affect accelerometer measures on the trunk. Twenty-seven healthy subjects, including 16 elderly (age, 69.3 ± 3.6 years) and 11 young (age, 23.6 ± 2.2 years) subjects, were evaluated. The parameters evaluated include root-mean-square values, fractal dimensions, path length, range, frequency dispersion and power spectrum among others derived from these values. These 16 parameters evaluated for each axis of movement and/or derivations resulted in 59 sub-parameters. These 59 sub-parameters were analysed in the elderly and young groups and under the open-eye and closed-eye conditions. The results showed that 30 sub-parameters detected differences for an age effect with open eyes, 18 detected differences with closed eyes, 25 detected differences for the young group standing with closed-open eyes and 37 detected differences for the elderly with closed and open eyes (p &lt;  0.01). We used simple signal processing for the accelerometry signals to minimise the effects of unwanted variability that could affect the results. The results showed better performance compared with those results published previously using force platforms to evaluate postural sway. The results presented here should be useful for researchers who want to use accelerometry to evaluate steady postural balance.","author":[{"family":"Martinez-Mendez","given":"Rigoberto"},{"family":"Sekine","given":"Masaki"},{"family":"Tamura","given":"Toshiyo"}],"authorYearDisplayFormat":false,"citation-label":"9257440","container-title":"Computer Methods in Biomechanics and Biomedical Engineering","container-title-short":"Comput. Methods Biomech. Biomed. Engin.","id":"9257440","invisible":false,"issue":"9","issued":{"date-parts":[["2012"]]},"journalAbbreviation":"Comput. Methods Biomech. Biomed. Engin.","page":"899-910","suppress-author":false,"title":"Postural sway parameters using a triaxial accelerometer: comparing elderly and young healthy adults.","type":"article-journal","volume":"15"},{"DOI":"10.3390/brainsci9090239","First":false,"Last":false,"PMCID":"PMC6770017","PMID":"31540441","abstract":"Parkinson's disease (PD) is a heterogeneous progressive neurodegenerative disorder, which typically affects older adults; it is predicted that by 2030 about 3% of the world population above 65 years of age is likely to be affected. At present, the diagnosis of PD is clinical, subjective, nonspecific, and often inadequate. There is a need to quantify the PD factors for an objective disease assessment. Among the various factors, postural instability (PI) is unresponsive to the existing treatment strategies resulting in morbidity. In this work, we review the physiology and pathophysiology of postural balance that is essential to treat PI among PD patients. Specifically, we discuss some of the reported factors for an early PI diagnosis, including age, nervous system lesions, genetic mutations, abnormal proprioception, impaired reflexes, and altered biomechanics. Though the contributing factors to PI have been identified, how their quantification to grade PI severity in a patient can help in treatment is not fully understood. By contextualizing the contributing factors, we aim to assist the future research efforts that underpin posturographical and histopathological studies to measure PI in PD. Once the pathology of PI is established, effective diagnostic tools and treatment strategies could be developed to curtail patient falls.","author":[{"family":"Palakurthi","given":"Bhavana"},{"family":"Burugupally","given":"Sindhu Preetham"}],"authorYearDisplayFormat":false,"citation-label":"9751278","container-title":"Brain sciences","container-title-short":"Brain Sci.","id":"9751278","invisible":false,"issue":"9","issued":{"date-parts":[["2019","9","18"]]},"journalAbbreviation":"Brain Sci.","suppress-author":false,"title":"Postural instability in parkinson's disease: A review.","type":"article-journal","volume":"9"},{"DOI":"10.1155/2013/987621","First":false,"Last":false,"PMCID":"PMC3693179","PMID":"23841022","abstract":"Purpose. Persons with Parkinson disease (PD) demonstrate deficits in motor learning as well as bidirectional interference (the performance of one task concurrently interferes with the performance of another task) during dual-task performance. Few studies have examined the practice dosages necessary for behavioral change in rehabilitation relevant tasks. Therefore, to compare the effects of age and PD on motor learning during dual-task performance, this pilot study examined persons with PD as well as neurologically healthy participants during concurrent performance of postural and speaking tasks. Methods. Seven persons with PD and 7 healthy age-matched and 10 healthy young control subjects were tested in a motion capture facility. Task performances were performed concurrently and recorded during 3 time periods (acquisition (beginning and ending), 48-hour retention, and 1-week retention). Postural control and speech articulatory acoustic variables were measured. Results. Healthy young participants consistently performed better than other groups on all measured postural and speech variables. Healthy young participants showed decreased variability at retention, while persons with PD and healthy age-matched controls were unable to consistently improve their performance as a result of practice. No changes were noted in the speech variables. Conclusion. The lack of consistent changes in motor performance in any of the tasks, except in the healthy young group, suggests a decreased efficiency of motor learning in the age-matched and PD groups and argues for increased practice dosages during balance training. ","author":[{"family":"Foreman","given":"K Bo"},{"family":"Sondrup","given":"Stuart"},{"family":"Dromey","given":"Christopher"},{"family":"Jarvis","given":"Eon"},{"family":"Nissen","given":"Shawn"},{"family":"Dibble","given":"Leland E"}],"authorYearDisplayFormat":false,"citation-label":"11060145","container-title":"Parkinson's disease","container-title-short":"Parkinsons Dis","id":"11060145","invisible":false,"issued":{"date-parts":[["2013","6","11"]]},"journalAbbreviation":"Parkinsons Dis","page":"987621","suppress-author":false,"title":"The effects of practice on the concurrent performance of a speech and postural task in persons with Parkinson disease and healthy controls.","type":"article-journal","volume":"2013"}]</w:instrText>
      </w:r>
      <w:r w:rsidR="00326B04" w:rsidRPr="001177AF">
        <w:rPr>
          <w:lang w:val="en-GB"/>
        </w:rPr>
        <w:fldChar w:fldCharType="separate"/>
      </w:r>
      <w:r w:rsidR="00726C10" w:rsidRPr="001177AF">
        <w:rPr>
          <w:noProof/>
          <w:lang w:val="en-GB"/>
        </w:rPr>
        <w:t>(38,45–48)</w:t>
      </w:r>
      <w:r w:rsidR="00326B04" w:rsidRPr="001177AF">
        <w:rPr>
          <w:lang w:val="en-GB"/>
        </w:rPr>
        <w:fldChar w:fldCharType="end"/>
      </w:r>
      <w:r w:rsidR="00380B8D" w:rsidRPr="001177AF">
        <w:rPr>
          <w:lang w:val="en-GB"/>
        </w:rPr>
        <w:t xml:space="preserve">. Other features extracted from frequency and </w:t>
      </w:r>
      <w:r w:rsidR="00241C79" w:rsidRPr="001177AF">
        <w:rPr>
          <w:lang w:val="en-GB"/>
        </w:rPr>
        <w:t>spatiotemporal-related</w:t>
      </w:r>
      <w:r w:rsidR="00380B8D" w:rsidRPr="001177AF">
        <w:rPr>
          <w:lang w:val="en-GB"/>
        </w:rPr>
        <w:t xml:space="preserve"> </w:t>
      </w:r>
      <w:r w:rsidR="007D5D81" w:rsidRPr="001177AF">
        <w:rPr>
          <w:lang w:val="en-GB"/>
        </w:rPr>
        <w:t>aspects</w:t>
      </w:r>
      <w:r w:rsidR="00380B8D" w:rsidRPr="001177AF">
        <w:rPr>
          <w:lang w:val="en-GB"/>
        </w:rPr>
        <w:t xml:space="preserve"> of </w:t>
      </w:r>
      <w:r w:rsidR="007D5D81" w:rsidRPr="001177AF">
        <w:rPr>
          <w:lang w:val="en-GB"/>
        </w:rPr>
        <w:t xml:space="preserve">a </w:t>
      </w:r>
      <w:r w:rsidR="00380B8D" w:rsidRPr="001177AF">
        <w:rPr>
          <w:lang w:val="en-GB"/>
        </w:rPr>
        <w:t xml:space="preserve">signal are also </w:t>
      </w:r>
      <w:r w:rsidR="00B06427" w:rsidRPr="001177AF">
        <w:rPr>
          <w:lang w:val="en-GB"/>
        </w:rPr>
        <w:t>reported frequently</w:t>
      </w:r>
      <w:r w:rsidR="00380B8D" w:rsidRPr="001177AF">
        <w:rPr>
          <w:lang w:val="en-GB"/>
        </w:rPr>
        <w:t>.</w:t>
      </w:r>
    </w:p>
    <w:p w14:paraId="1C6C3F43" w14:textId="753E3EC8" w:rsidR="00762E7C" w:rsidRPr="001177AF" w:rsidRDefault="007E25C7" w:rsidP="002920C7">
      <w:pPr>
        <w:spacing w:line="360" w:lineRule="auto"/>
        <w:jc w:val="both"/>
        <w:rPr>
          <w:lang w:val="en-GB"/>
        </w:rPr>
      </w:pPr>
      <w:r w:rsidRPr="001177AF">
        <w:rPr>
          <w:lang w:val="en-GB"/>
        </w:rPr>
        <w:t xml:space="preserve">IMU sensors are also frequently used to </w:t>
      </w:r>
      <w:r w:rsidR="005D54DC" w:rsidRPr="001177AF">
        <w:rPr>
          <w:lang w:val="en-GB"/>
        </w:rPr>
        <w:t>analyse</w:t>
      </w:r>
      <w:r w:rsidRPr="001177AF">
        <w:rPr>
          <w:lang w:val="en-GB"/>
        </w:rPr>
        <w:t xml:space="preserve"> tremor-related symptoms</w:t>
      </w:r>
      <w:r w:rsidR="00247B41" w:rsidRPr="001177AF">
        <w:rPr>
          <w:lang w:val="en-GB"/>
        </w:rPr>
        <w:t>,</w:t>
      </w:r>
      <w:r w:rsidR="005860F3" w:rsidRPr="001177AF">
        <w:rPr>
          <w:lang w:val="en-GB"/>
        </w:rPr>
        <w:t xml:space="preserve"> and features such as t</w:t>
      </w:r>
      <w:r w:rsidR="00B314B3" w:rsidRPr="001177AF">
        <w:rPr>
          <w:lang w:val="en-GB"/>
        </w:rPr>
        <w:t xml:space="preserve">emporal and frequency </w:t>
      </w:r>
      <w:r w:rsidR="007D5D81" w:rsidRPr="001177AF">
        <w:rPr>
          <w:lang w:val="en-GB"/>
        </w:rPr>
        <w:t>domain-related</w:t>
      </w:r>
      <w:r w:rsidR="00B314B3" w:rsidRPr="001177AF">
        <w:rPr>
          <w:lang w:val="en-GB"/>
        </w:rPr>
        <w:t xml:space="preserve"> </w:t>
      </w:r>
      <w:r w:rsidR="004451F0" w:rsidRPr="001177AF">
        <w:rPr>
          <w:lang w:val="en-GB"/>
        </w:rPr>
        <w:t>features</w:t>
      </w:r>
      <w:r w:rsidR="00B314B3" w:rsidRPr="001177AF">
        <w:rPr>
          <w:lang w:val="en-GB"/>
        </w:rPr>
        <w:t>, entropy, root mean square</w:t>
      </w:r>
      <w:r w:rsidR="006E56AF" w:rsidRPr="001177AF">
        <w:rPr>
          <w:lang w:val="en-GB"/>
        </w:rPr>
        <w:t>,</w:t>
      </w:r>
      <w:r w:rsidR="00B314B3" w:rsidRPr="001177AF">
        <w:rPr>
          <w:lang w:val="en-GB"/>
        </w:rPr>
        <w:t xml:space="preserve"> and signal amplitude are widely reported</w:t>
      </w:r>
      <w:r w:rsidR="00326B04" w:rsidRPr="001177AF">
        <w:rPr>
          <w:lang w:val="en-GB"/>
        </w:rPr>
        <w:t xml:space="preserve"> </w:t>
      </w:r>
      <w:r w:rsidR="00326B04" w:rsidRPr="001177AF">
        <w:rPr>
          <w:lang w:val="en-GB"/>
        </w:rPr>
        <w:fldChar w:fldCharType="begin"/>
      </w:r>
      <w:r w:rsidR="00726C10" w:rsidRPr="001177AF">
        <w:rPr>
          <w:lang w:val="en-GB"/>
        </w:rPr>
        <w:instrText>ADDIN F1000_CSL_CITATION&lt;~#@#~&gt;[{"DOI":"10.1038/s41746-019-0217-7","First":false,"Last":false,"PMCID":"PMC6962225","PMID":"31970290","abstract":"Objective assessment of Parkinson's disease symptoms during daily life can help improve disease management and accelerate the development of new therapies. However, many current approaches require the use of multiple devices, or performance of prescribed motor activities, which makes them ill-suited for free-living conditions. Furthermore, there is a lack of open methods that have demonstrated both criterion and discriminative validity for continuous objective assessment of motor symptoms in this population. Hence, there is a need for systems that can reduce patient burden by using a minimal sensor setup while continuously capturing clinically meaningful measures of motor symptom severity under free-living conditions. We propose a method that sequentially processes epochs of raw sensor data from a single wrist-worn accelerometer by using heuristic and machine learning models in a hierarchical framework to provide continuous monitoring of tremor and bradykinesia. Results show that sensor derived continuous measures of resting tremor and bradykinesia achieve good to strong agreement with clinical assessment of symptom severity and are able to discriminate between treatment-related changes in motor states.&lt;br&gt;&lt;br&gt;© The Author(s) 2020.","author":[{"family":"Mahadevan","given":"Nikhil"},{"family":"Demanuele","given":"Charmaine"},{"family":"Zhang","given":"Hao"},{"family":"Volfson","given":"Dmitri"},{"family":"Ho","given":"Bryan"},{"family":"Erb","given":"Michael Kelley"},{"family":"Patel","given":"Shyamal"}],"authorYearDisplayFormat":false,"citation-label":"9106290","container-title":"npj Digital Medicine","container-title-short":"npj Digital Med.","id":"9106290","invisible":false,"issued":{"date-parts":[["2020","1","15"]]},"journalAbbreviation":"npj Digital Med.","page":"5","suppress-author":false,"title":"Development of digital biomarkers for resting tremor and bradykinesia using a wrist-worn wearable device.","type":"article-journal","volume":"3"},{"DOI":"10.1002/mds.27376","First":false,"Last":false,"PMCID":"PMC6175318","PMID":"29701258","abstract":"&lt;strong&gt;BACKGROUND:&lt;/strong&gt; Ubiquitous digital technologies such as smartphone sensors promise to fundamentally change biomedical research and treatment monitoring in neurological diseases such as PD, creating a new domain of digital biomarkers.&lt;br&gt;&lt;br&gt;&lt;strong&gt;OBJECTIVES:&lt;/strong&gt; The present study assessed the feasibility, reliability, and validity of smartphone-based digital biomarkers of PD in a clinical trial setting.&lt;br&gt;&lt;br&gt;&lt;strong&gt;METHODS:&lt;/strong&gt; During a 6-month, phase 1b clinical trial with 44 Parkinson participants, and an independent, 45-day study in 35 age-matched healthy controls, participants completed six daily motor active tests (sustained phonation, rest tremor, postural tremor, finger-tapping, balance, and gait), then carried the smartphone during the day (passive monitoring), enabling assessment of, for example, time spent walking and sit-to-stand transitions by gyroscopic and accelerometer data.&lt;br&gt;&lt;br&gt;&lt;strong&gt;RESULTS:&lt;/strong&gt; Adherence was acceptable: Patients completed active testing on average 3.5 of 7 times/week. Sensor-based features showed moderate-to-excellent test-retest reliability (average intraclass correlation coefficient = 0.84). All active and passive features significantly differentiated PD from controls with P &lt;  0.005. All active test features except sustained phonation were significantly related to corresponding International Parkinson and Movement Disorder Society-Sponsored UPRDS clinical severity ratings. On passive monitoring, time spent walking had a significant (P = 0.005) relationship with average postural instability and gait disturbance scores. Of note, for all smartphone active and passive features except postural tremor, the monitoring procedure detected abnormalities even in those Parkinson participants scored as having no signs in the corresponding International Parkinson and Movement Disorder Society-Sponsored UPRDS items at the site visit.&lt;br&gt;&lt;br&gt;&lt;strong&gt;CONCLUSIONS:&lt;/strong&gt; These findings demonstrate the feasibility of smartphone-based digital biomarkers and indicate that smartphone-sensor technologies provide reliable, valid, clinically meaningful, and highly sensitive phenotypic data in Parkinson's disease. © 2018 The Authors. Movement Disorders published by Wiley Periodicals, Inc. on behalf of International Parkinson and Movement Disorder Society.&lt;br&gt;&lt;br&gt;© 2018 The Authors. Movement Disorders published by Wiley Periodicals, Inc. on behalf of International Parkinson and Movement Disorder Society.","author":[{"family":"Lipsmeier","given":"Florian"},{"family":"Taylor","given":"Kirsten I"},{"family":"Kilchenmann","given":"Timothy"},{"family":"Wolf","given":"Detlef"},{"family":"Scotland","given":"Alf"},{"family":"Schjodt-Eriksen","given":"Jens"},{"family":"Cheng","given":"Wei-Yi"},{"family":"Fernandez-Garcia","given":"Ignacio"},{"family":"Siebourg-Polster","given":"Juliane"},{"family":"Jin","given":"Liping"},{"family":"Soto","given":"Jay"},{"family":"Verselis","given":"Lynne"},{"family":"Boess","given":"Frank"},{"family":"Koller","given":"Martin"},{"family":"Grundman","given":"Michael"},{"family":"Monsch","given":"Andreas U"},{"family":"Postuma","given":"Ronald B"},{"family":"Ghosh","given":"Anirvan"},{"family":"Kremer","given":"Thomas"},{"family":"Czech","given":"Christian"},{"family":"Gossens","given":"Christian"},{"family":"Lindemann","given":"Michael"}],"authorYearDisplayFormat":false,"citation-label":"5186601","container-title":"Movement Disorders","container-title-short":"Mov. Disord.","id":"5186601","invisible":false,"issue":"8","issued":{"date-parts":[["2018","8"]]},"journalAbbreviation":"Mov. Disord.","page":"1287-1297","suppress-author":false,"title":"Evaluation of smartphone-based testing to generate exploratory outcome measures in a phase 1 Parkinson's disease clinical trial.","type":"article-journal","volume":"33"},{"DOI":"10.3390/s140917235","First":false,"Last":false,"PMCID":"PMC4208222","PMID":"25230307","abstract":"Wearable technologies for health monitoring have become a reality in the last few years. So far, most research studies have focused on assessments of the technical performance of these systems, as well as the validation of the clinical outcomes. Nevertheless, the success in the acceptance of these solutions depends not only on the technical and clinical effectiveness, but on the final user acceptance. In this work the compliance of a telehealth system for the remote monitoring of Parkinson's disease (PD) patients is presented with testing in 32 PD patients. This system, called PERFORM, is based on a Body Area Network (BAN) of sensors which has already been validated both from the technical and clinical point for view. Diverse methodologies (REBA, Borg and CRS scales in combination with a body map) are employed to study the comfort, biomechanical and physiological effects of the system. The test results allow us to conclude that the acceptance of this system is satisfactory with all the levels of effect on each component scoring in the lowest ranges. This study also provided useful insights and guidelines to lead to redesign of the system to improve patient compliance. ","author":[{"family":"Cancela","given":"Jorge"},{"family":"Pastorino","given":"Matteo"},{"family":"Tzallas","given":"Alexandros T"},{"family":"Tsipouras","given":"Markos G"},{"family":"Rigas","given":"Giorgios"},{"family":"Arredondo","given":"Maria T"},{"family":"Fotiadis","given":"Dimitrios I"}],"authorYearDisplayFormat":false,"citation-label":"9010482","container-title":"Sensors (Basel, Switzerland)","container-title-short":"Sensors","id":"9010482","invisible":false,"issue":"9","issued":{"date-parts":[["2014","9","16"]]},"journalAbbreviation":"Sensors","page":"17235-17255","suppress-author":false,"title":"Wearability assessment of a wearable system for Parkinson's disease remote monitoring based on a body area network of sensors.","type":"article-journal","volume":"14"},{"DOI":"10.1109/TITB.2011.2107916","First":false,"Last":false,"PMID":"21349795","abstract":"Posture analysis in quiet standing is a key component of the clinical evaluation of Parkinson's disease (PD), postural instability being one of PD's major symptoms. The aim of this study was to assess the feasibility of using accelerometers to characterize the postural behavior of early mild PD subjects. Twenty PD and 20 control subjects, wearing an accelerometer on the lower back, were tested in five conditions characterized by sensory and attentional perturbation. A total of 175 measures were computed from the signals to quantify tremor, acceleration, and displacement of body sway. Feature selection was implemented to identify the subsets of measures that better characterize the distinctive behavior of PD and control subjects. It was based on different classifiers and on a nested cross validation, to maximize robustness of selection with respect to changes in the training set. Several subsets of three features achieved misclassification rates as low as 5%. Many of them included a tremor-related measure, a postural measure in the frequency domain, and a postural displacement measure. Results suggest that quantitative posture analysis using a single accelerometer and a simple test protocol may provide useful information to characterize early PD subjects. This protocol is potentially usable to monitor the disease's progression.","author":[{"family":"Palmerini","given":"Luca"},{"family":"Rocchi","given":"Laura"},{"family":"Mellone","given":"Sabato"},{"family":"Valzania","given":"Franco"},{"family":"Chiari","given":"Lorenzo"}],"authorYearDisplayFormat":false,"citation-label":"9268678","container-title":"IEEE transactions on information technology in biomedicine : a publication of the IEEE Engineering in Medicine and Biology Society","container-title-short":"IEEE Trans. Inf. Technol. Biomed.","id":"9268678","invisible":false,"issue":"3","issued":{"date-parts":[["2011","5"]]},"journalAbbreviation":"IEEE Trans. Inf. Technol. Biomed.","page":"481-490","suppress-author":false,"title":"Feature selection for accelerometer-based posture analysis in Parkinson's disease.","type":"article-journal","volume":"15"},{"DOI":"10.1109/TITB.2009.2033471","First":false,"Last":false,"PMCID":"PMC5432434","PMID":"19846382","abstract":"This paper presents the results of a pilot study to assess the feasibility of using accelerometer data to estimate the severity of symptoms and motor complications in patients with Parkinson's disease. A support vector machine (SVM) classifier was implemented to estimate the severity of tremor, bradykinesia and dyskinesia from accelerometer data features. SVM-based estimates were compared with clinical scores derived via visual inspection of video recordings taken while patients performed a series of standardized motor tasks. The analysis of the video recordings was performed by clinicians trained in the use of scales for the assessment of the severity of Parkinsonian symptoms and motor complications. Results derived from the accelerometer time series were analyzed to assess the effect on the estimation of clinical scores of the duration of the window utilized to derive segments (to eventually compute data features) from the accelerometer data, the use of different SVM kernels and misclassification cost values, and the use of data features derived from different motor tasks. Results were also analyzed to assess which combinations of data features carried enough information to reliably assess the severity of symptoms and motor complications. Combinations of data features were compared taking into consideration the computational cost associated with estimating each data feature on the nodes of a body sensor network and the effect of using such data features on the reliability of SVM-based estimates of the severity of Parkinsonian symptoms and motor complications.","author":[{"family":"Patel","given":"Shyamal"},{"family":"Lorincz","given":"Konrad"},{"family":"Hughes","given":"Richard"},{"family":"Huggins","given":"Nancy"},{"family":"Growdon","given":"John"},{"family":"Standaert","given":"David"},{"family":"Akay","given":"Metin"},{"family":"Dy","given":"Jennifer"},{"family":"Welsh","given":"Matt"},{"family":"Bonato","given":"Paolo"}],"authorYearDisplayFormat":false,"citation-label":"7943333","container-title":"IEEE transactions on information technology in biomedicine : a publication of the IEEE Engineering in Medicine and Biology Society","container-title-short":"IEEE Trans. Inf. Technol. Biomed.","id":"7943333","invisible":false,"issue":"6","issued":{"date-parts":[["2009","11"]]},"journalAbbreviation":"IEEE Trans. Inf. Technol. Biomed.","page":"864-873","suppress-author":false,"title":"Monitoring motor fluctuations in patients with Parkinson's disease using wearable sensors.","type":"article-journal","volume":"13"}]</w:instrText>
      </w:r>
      <w:r w:rsidR="00326B04" w:rsidRPr="001177AF">
        <w:rPr>
          <w:lang w:val="en-GB"/>
        </w:rPr>
        <w:fldChar w:fldCharType="separate"/>
      </w:r>
      <w:r w:rsidR="00726C10" w:rsidRPr="001177AF">
        <w:rPr>
          <w:noProof/>
          <w:lang w:val="en-GB"/>
        </w:rPr>
        <w:t>(2,4,49–51)</w:t>
      </w:r>
      <w:r w:rsidR="00326B04" w:rsidRPr="001177AF">
        <w:rPr>
          <w:lang w:val="en-GB"/>
        </w:rPr>
        <w:fldChar w:fldCharType="end"/>
      </w:r>
      <w:r w:rsidR="004451F0" w:rsidRPr="001177AF">
        <w:rPr>
          <w:lang w:val="en-GB"/>
        </w:rPr>
        <w:t>.</w:t>
      </w:r>
      <w:r w:rsidR="00B06427" w:rsidRPr="001177AF">
        <w:rPr>
          <w:lang w:val="en-GB"/>
        </w:rPr>
        <w:t xml:space="preserve"> </w:t>
      </w:r>
      <w:r w:rsidR="00B314B3" w:rsidRPr="001177AF">
        <w:rPr>
          <w:lang w:val="en-GB"/>
        </w:rPr>
        <w:t>IMU sensors</w:t>
      </w:r>
      <w:r w:rsidR="005860F3" w:rsidRPr="001177AF">
        <w:rPr>
          <w:lang w:val="en-GB"/>
        </w:rPr>
        <w:t>,</w:t>
      </w:r>
      <w:r w:rsidR="00B314B3" w:rsidRPr="001177AF">
        <w:rPr>
          <w:lang w:val="en-GB"/>
        </w:rPr>
        <w:t xml:space="preserve"> </w:t>
      </w:r>
      <w:r w:rsidR="00527825" w:rsidRPr="001177AF">
        <w:rPr>
          <w:lang w:val="en-GB"/>
        </w:rPr>
        <w:t>combined</w:t>
      </w:r>
      <w:r w:rsidR="005860F3" w:rsidRPr="001177AF">
        <w:rPr>
          <w:lang w:val="en-GB"/>
        </w:rPr>
        <w:t xml:space="preserve"> </w:t>
      </w:r>
      <w:r w:rsidR="00B314B3" w:rsidRPr="001177AF">
        <w:rPr>
          <w:lang w:val="en-GB"/>
        </w:rPr>
        <w:t xml:space="preserve">with </w:t>
      </w:r>
      <w:r w:rsidR="007D5D81" w:rsidRPr="001177AF">
        <w:rPr>
          <w:lang w:val="en-GB"/>
        </w:rPr>
        <w:t>touchscreens</w:t>
      </w:r>
      <w:r w:rsidR="00460763" w:rsidRPr="001177AF">
        <w:rPr>
          <w:lang w:val="en-GB"/>
        </w:rPr>
        <w:t>,</w:t>
      </w:r>
      <w:r w:rsidR="00B314B3" w:rsidRPr="001177AF">
        <w:rPr>
          <w:lang w:val="en-GB"/>
        </w:rPr>
        <w:t xml:space="preserve"> are </w:t>
      </w:r>
      <w:r w:rsidR="005860F3" w:rsidRPr="001177AF">
        <w:rPr>
          <w:lang w:val="en-GB"/>
        </w:rPr>
        <w:t xml:space="preserve">also commonly </w:t>
      </w:r>
      <w:r w:rsidR="00BD038A" w:rsidRPr="001177AF">
        <w:rPr>
          <w:lang w:val="en-GB"/>
        </w:rPr>
        <w:t>used</w:t>
      </w:r>
      <w:r w:rsidR="00B314B3" w:rsidRPr="001177AF">
        <w:rPr>
          <w:lang w:val="en-GB"/>
        </w:rPr>
        <w:t xml:space="preserve"> to assess </w:t>
      </w:r>
      <w:r w:rsidR="007D5D81" w:rsidRPr="001177AF">
        <w:rPr>
          <w:lang w:val="en-GB"/>
        </w:rPr>
        <w:t>bradykinesia-related</w:t>
      </w:r>
      <w:r w:rsidR="00C96E51" w:rsidRPr="001177AF">
        <w:rPr>
          <w:lang w:val="en-GB"/>
        </w:rPr>
        <w:t xml:space="preserve"> symptoms</w:t>
      </w:r>
      <w:r w:rsidR="005860F3" w:rsidRPr="001177AF">
        <w:rPr>
          <w:lang w:val="en-GB"/>
        </w:rPr>
        <w:t xml:space="preserve"> and </w:t>
      </w:r>
      <w:r w:rsidR="00FB7438" w:rsidRPr="001177AF">
        <w:rPr>
          <w:lang w:val="en-GB"/>
        </w:rPr>
        <w:t>the most common feature</w:t>
      </w:r>
      <w:r w:rsidR="005860F3" w:rsidRPr="001177AF">
        <w:rPr>
          <w:lang w:val="en-GB"/>
        </w:rPr>
        <w:t>s</w:t>
      </w:r>
      <w:r w:rsidR="00FB7438" w:rsidRPr="001177AF">
        <w:rPr>
          <w:lang w:val="en-GB"/>
        </w:rPr>
        <w:t xml:space="preserve"> </w:t>
      </w:r>
      <w:r w:rsidR="005860F3" w:rsidRPr="001177AF">
        <w:rPr>
          <w:lang w:val="en-GB"/>
        </w:rPr>
        <w:t xml:space="preserve">are </w:t>
      </w:r>
      <w:r w:rsidR="007D5D81" w:rsidRPr="001177AF">
        <w:rPr>
          <w:lang w:val="en-GB"/>
        </w:rPr>
        <w:t xml:space="preserve">the </w:t>
      </w:r>
      <w:r w:rsidR="00FB7438" w:rsidRPr="001177AF">
        <w:rPr>
          <w:lang w:val="en-GB"/>
        </w:rPr>
        <w:t xml:space="preserve">number of taps, speed of tap, </w:t>
      </w:r>
      <w:r w:rsidR="005860F3" w:rsidRPr="001177AF">
        <w:rPr>
          <w:lang w:val="en-GB"/>
        </w:rPr>
        <w:t xml:space="preserve">and </w:t>
      </w:r>
      <w:r w:rsidR="00FB7438" w:rsidRPr="001177AF">
        <w:rPr>
          <w:lang w:val="en-GB"/>
        </w:rPr>
        <w:t>temporal variability of taps as frequency domain-oriented features</w:t>
      </w:r>
      <w:r w:rsidR="000E2155" w:rsidRPr="001177AF">
        <w:rPr>
          <w:lang w:val="en-GB"/>
        </w:rPr>
        <w:t xml:space="preserve"> </w:t>
      </w:r>
      <w:r w:rsidR="000E2155" w:rsidRPr="001177AF">
        <w:rPr>
          <w:lang w:val="en-GB"/>
        </w:rPr>
        <w:fldChar w:fldCharType="begin"/>
      </w:r>
      <w:r w:rsidR="00726C10" w:rsidRPr="001177AF">
        <w:rPr>
          <w:lang w:val="en-GB"/>
        </w:rPr>
        <w:instrText>ADDIN F1000_CSL_CITATION&lt;~#@#~&gt;[{"DOI":"10.1038/s41746-019-0217-7","First":false,"Last":false,"PMCID":"PMC6962225","PMID":"31970290","abstract":"Objective assessment of Parkinson's disease symptoms during daily life can help improve disease management and accelerate the development of new therapies. However, many current approaches require the use of multiple devices, or performance of prescribed motor activities, which makes them ill-suited for free-living conditions. Furthermore, there is a lack of open methods that have demonstrated both criterion and discriminative validity for continuous objective assessment of motor symptoms in this population. Hence, there is a need for systems that can reduce patient burden by using a minimal sensor setup while continuously capturing clinically meaningful measures of motor symptom severity under free-living conditions. We propose a method that sequentially processes epochs of raw sensor data from a single wrist-worn accelerometer by using heuristic and machine learning models in a hierarchical framework to provide continuous monitoring of tremor and bradykinesia. Results show that sensor derived continuous measures of resting tremor and bradykinesia achieve good to strong agreement with clinical assessment of symptom severity and are able to discriminate between treatment-related changes in motor states.&lt;br&gt;&lt;br&gt;© The Author(s) 2020.","author":[{"family":"Mahadevan","given":"Nikhil"},{"family":"Demanuele","given":"Charmaine"},{"family":"Zhang","given":"Hao"},{"family":"Volfson","given":"Dmitri"},{"family":"Ho","given":"Bryan"},{"family":"Erb","given":"Michael Kelley"},{"family":"Patel","given":"Shyamal"}],"authorYearDisplayFormat":false,"citation-label":"9106290","container-title":"npj Digital Medicine","container-title-short":"npj Digital Med.","id":"9106290","invisible":false,"issued":{"date-parts":[["2020","1","15"]]},"journalAbbreviation":"npj Digital Med.","page":"5","suppress-author":false,"title":"Development of digital biomarkers for resting tremor and bradykinesia using a wrist-worn wearable device.","type":"article-journal","volume":"3"},{"DOI":"10.1016/j.imu.2017.05.005","First":false,"Last":false,"abstract":"Objectives: The aim of this paper is to investigate whether a smartphone-based system can be used to quantify dexterity in Parkinson’s disease (PD). More specifically, the aim was to develop data-d ...","author":[{"family":"Aghanavesi","given":"Somayeh"},{"family":"Nyholm","given":"Dag"},{"family":"Senek","given":"Marina"},{"family":"Bergquist","given":"Filip"},{"family":"Memedi","given":"Mevludin"}],"authorYearDisplayFormat":false,"citation-label":"8244221","container-title":"Informatics in Medicine Unlocked","container-title-short":"Informatics in Medicine Unlocked","id":"8244221","invisible":false,"issued":{"date-parts":[["2017"]]},"journalAbbreviation":"Informatics in Medicine Unlocked","page":"11-17","suppress-author":false,"title":"A smartphone-based system to quantify dexterity in Parkinson's disease patients","type":"article-journal","volume":"9"},{"DOI":"10.3390/s140917235","First":false,"Last":false,"PMCID":"PMC4208222","PMID":"25230307","abstract":"Wearable technologies for health monitoring have become a reality in the last few years. So far, most research studies have focused on assessments of the technical performance of these systems, as well as the validation of the clinical outcomes. Nevertheless, the success in the acceptance of these solutions depends not only on the technical and clinical effectiveness, but on the final user acceptance. In this work the compliance of a telehealth system for the remote monitoring of Parkinson's disease (PD) patients is presented with testing in 32 PD patients. This system, called PERFORM, is based on a Body Area Network (BAN) of sensors which has already been validated both from the technical and clinical point for view. Diverse methodologies (REBA, Borg and CRS scales in combination with a body map) are employed to study the comfort, biomechanical and physiological effects of the system. The test results allow us to conclude that the acceptance of this system is satisfactory with all the levels of effect on each component scoring in the lowest ranges. This study also provided useful insights and guidelines to lead to redesign of the system to improve patient compliance. ","author":[{"family":"Cancela","given":"Jorge"},{"family":"Pastorino","given":"Matteo"},{"family":"Tzallas","given":"Alexandros T"},{"family":"Tsipouras","given":"Markos G"},{"family":"Rigas","given":"Giorgios"},{"family":"Arredondo","given":"Maria T"},{"family":"Fotiadis","given":"Dimitrios I"}],"authorYearDisplayFormat":false,"citation-label":"9010482","container-title":"Sensors (Basel, Switzerland)","container-title-short":"Sensors","id":"9010482","invisible":false,"issue":"9","issued":{"date-parts":[["2014","9","16"]]},"journalAbbreviation":"Sensors","page":"17235-17255","suppress-author":false,"title":"Wearability assessment of a wearable system for Parkinson's disease remote monitoring based on a body area network of sensors.","type":"article-journal","volume":"14"}]</w:instrText>
      </w:r>
      <w:r w:rsidR="000E2155" w:rsidRPr="001177AF">
        <w:rPr>
          <w:lang w:val="en-GB"/>
        </w:rPr>
        <w:fldChar w:fldCharType="separate"/>
      </w:r>
      <w:r w:rsidR="00726C10" w:rsidRPr="001177AF">
        <w:rPr>
          <w:noProof/>
          <w:lang w:val="en-GB"/>
        </w:rPr>
        <w:t>(49,50,52)</w:t>
      </w:r>
      <w:r w:rsidR="000E2155" w:rsidRPr="001177AF">
        <w:rPr>
          <w:lang w:val="en-GB"/>
        </w:rPr>
        <w:fldChar w:fldCharType="end"/>
      </w:r>
      <w:r w:rsidR="00FB7438" w:rsidRPr="001177AF">
        <w:rPr>
          <w:lang w:val="en-GB"/>
        </w:rPr>
        <w:t>.</w:t>
      </w:r>
      <w:r w:rsidR="00B06427" w:rsidRPr="001177AF">
        <w:rPr>
          <w:lang w:val="en-GB"/>
        </w:rPr>
        <w:t xml:space="preserve"> </w:t>
      </w:r>
      <w:r w:rsidRPr="001177AF">
        <w:rPr>
          <w:lang w:val="en-GB"/>
        </w:rPr>
        <w:t>In excess of</w:t>
      </w:r>
      <w:r w:rsidR="0002238D" w:rsidRPr="001177AF">
        <w:rPr>
          <w:lang w:val="en-GB"/>
        </w:rPr>
        <w:t xml:space="preserve"> motor symptoms, voice </w:t>
      </w:r>
      <w:r w:rsidR="00622EF0" w:rsidRPr="001177AF">
        <w:rPr>
          <w:lang w:val="en-GB"/>
        </w:rPr>
        <w:t>dysfunction</w:t>
      </w:r>
      <w:r w:rsidR="00622EF0" w:rsidRPr="001177AF" w:rsidDel="007E25C7">
        <w:rPr>
          <w:lang w:val="en-GB"/>
        </w:rPr>
        <w:t xml:space="preserve"> </w:t>
      </w:r>
      <w:r w:rsidR="0006362E" w:rsidRPr="001177AF">
        <w:rPr>
          <w:lang w:val="en-GB"/>
        </w:rPr>
        <w:t>is</w:t>
      </w:r>
      <w:r w:rsidR="0002238D" w:rsidRPr="001177AF">
        <w:rPr>
          <w:lang w:val="en-GB"/>
        </w:rPr>
        <w:t xml:space="preserve"> </w:t>
      </w:r>
      <w:r w:rsidR="0006362E" w:rsidRPr="001177AF">
        <w:rPr>
          <w:lang w:val="en-GB"/>
        </w:rPr>
        <w:t xml:space="preserve">a frequently </w:t>
      </w:r>
      <w:r w:rsidR="00DF5EA7" w:rsidRPr="001177AF">
        <w:rPr>
          <w:lang w:val="en-GB"/>
        </w:rPr>
        <w:t>reported symptom</w:t>
      </w:r>
      <w:r w:rsidR="0006362E" w:rsidRPr="001177AF">
        <w:rPr>
          <w:lang w:val="en-GB"/>
        </w:rPr>
        <w:t xml:space="preserve"> </w:t>
      </w:r>
      <w:r w:rsidR="00DF5EA7" w:rsidRPr="001177AF">
        <w:rPr>
          <w:lang w:val="en-GB"/>
        </w:rPr>
        <w:t>related to PD</w:t>
      </w:r>
      <w:r w:rsidR="00622EF0" w:rsidRPr="001177AF">
        <w:rPr>
          <w:lang w:val="en-GB"/>
        </w:rPr>
        <w:t xml:space="preserve"> </w:t>
      </w:r>
      <w:r w:rsidR="00622EF0" w:rsidRPr="001177AF">
        <w:rPr>
          <w:lang w:val="en-GB"/>
        </w:rPr>
        <w:fldChar w:fldCharType="begin"/>
      </w:r>
      <w:r w:rsidR="00726C10" w:rsidRPr="001177AF">
        <w:rPr>
          <w:lang w:val="en-GB"/>
        </w:rPr>
        <w:instrText>ADDIN F1000_CSL_CITATION&lt;~#@#~&gt;[{"DOI":"10.1016/j.jocn.2019.12.029","First":false,"Last":false,"PMID":"31952969","abstract":"Emerging evidence suggests voice dysfunction is the earliest sign of motor impairment in Parkinson's disease (PD). The complexity and fine motor control involved in vocalization may result in dysfunction here before the limbs. The voice in PD demonstrates characteristic changes on perceptual and acoustic analyses. The physiological and anatomical correlates of these have been investigated through laryngoscopy, stroboscopy, photoglottography, laryngeal electromyography, computed-tomography, pulmonary function testing and aerodynamic assessments. These have revealed numerous abnormalities including incomplete glottic closure and vocal fold hypoadduction/bowing to account for these voice changes. Many of these phenomena are likely related to rigidity or bradykinesia of the laryngeal muscles. The early onset of voice changes is resonant with the pathophysiological insights offered by Braak's hypothesis and murine models of the disease. These physiological abnormalities and pathological models largely stand to support dopaminergic and non-dopaminergic mechanisms being implicated in the pathogenesis of voice dysfunction. This review focuses on characterizing the voice changes in PD. These stand as a promising area of enquiry to further our understanding of the pathophysiology of the disease and offer potential to be utilized as an early diagnostic biomarker or marker of disease progression.&lt;br&gt;&lt;br&gt;Copyright © 2020 Elsevier Ltd. All rights reserved.","author":[{"family":"Ma","given":"Andrew"},{"family":"Lau","given":"Kenneth K"},{"family":"Thyagarajan","given":"Dominic"}],"authorYearDisplayFormat":false,"citation-label":"13634999","container-title":"Journal of Clinical Neuroscience","container-title-short":"J. Clin. Neurosci.","id":"13634999","invisible":false,"issued":{"date-parts":[["2020","2"]]},"journalAbbreviation":"J. Clin. Neurosci.","page":"1-7","suppress-author":false,"title":"Voice changes in Parkinson's disease: What are they telling us?","type":"article-journal","volume":"72"}]</w:instrText>
      </w:r>
      <w:r w:rsidR="00622EF0" w:rsidRPr="001177AF">
        <w:rPr>
          <w:lang w:val="en-GB"/>
        </w:rPr>
        <w:fldChar w:fldCharType="separate"/>
      </w:r>
      <w:r w:rsidR="00726C10" w:rsidRPr="001177AF">
        <w:rPr>
          <w:noProof/>
          <w:lang w:val="en-GB"/>
        </w:rPr>
        <w:t>(53)</w:t>
      </w:r>
      <w:r w:rsidR="00622EF0" w:rsidRPr="001177AF">
        <w:rPr>
          <w:lang w:val="en-GB"/>
        </w:rPr>
        <w:fldChar w:fldCharType="end"/>
      </w:r>
      <w:r w:rsidR="005860F3" w:rsidRPr="001177AF">
        <w:rPr>
          <w:lang w:val="en-GB"/>
        </w:rPr>
        <w:t xml:space="preserve"> </w:t>
      </w:r>
      <w:r w:rsidR="00460763" w:rsidRPr="001177AF">
        <w:rPr>
          <w:lang w:val="en-GB"/>
        </w:rPr>
        <w:t>that</w:t>
      </w:r>
      <w:r w:rsidR="005860F3" w:rsidRPr="001177AF">
        <w:rPr>
          <w:lang w:val="en-GB"/>
        </w:rPr>
        <w:t xml:space="preserve"> may</w:t>
      </w:r>
      <w:r w:rsidR="00460763" w:rsidRPr="001177AF">
        <w:rPr>
          <w:lang w:val="en-GB"/>
        </w:rPr>
        <w:t xml:space="preserve"> be caused </w:t>
      </w:r>
      <w:r w:rsidR="00460763" w:rsidRPr="001177AF">
        <w:rPr>
          <w:lang w:val="en-GB"/>
        </w:rPr>
        <w:lastRenderedPageBreak/>
        <w:t>by t</w:t>
      </w:r>
      <w:r w:rsidR="009A53BD" w:rsidRPr="001177AF">
        <w:rPr>
          <w:lang w:val="en-GB"/>
        </w:rPr>
        <w:t>he rigidity or bradykinesia of the laryngeal muscles in PD</w:t>
      </w:r>
      <w:r w:rsidR="00460763" w:rsidRPr="001177AF">
        <w:rPr>
          <w:lang w:val="en-GB"/>
        </w:rPr>
        <w:t xml:space="preserve"> </w:t>
      </w:r>
      <w:r w:rsidR="00CC7E18" w:rsidRPr="001177AF">
        <w:rPr>
          <w:lang w:val="en-GB"/>
        </w:rPr>
        <w:t>t</w:t>
      </w:r>
      <w:r w:rsidR="00460763" w:rsidRPr="001177AF">
        <w:rPr>
          <w:lang w:val="en-GB"/>
        </w:rPr>
        <w:t>hat</w:t>
      </w:r>
      <w:r w:rsidR="009A53BD" w:rsidRPr="001177AF">
        <w:rPr>
          <w:lang w:val="en-GB"/>
        </w:rPr>
        <w:t xml:space="preserve"> </w:t>
      </w:r>
      <w:r w:rsidR="00460763" w:rsidRPr="001177AF">
        <w:rPr>
          <w:lang w:val="en-GB"/>
        </w:rPr>
        <w:t>can result in</w:t>
      </w:r>
      <w:r w:rsidR="009A53BD" w:rsidRPr="001177AF">
        <w:rPr>
          <w:lang w:val="en-GB"/>
        </w:rPr>
        <w:t xml:space="preserve"> </w:t>
      </w:r>
      <w:r w:rsidR="006E56AF" w:rsidRPr="001177AF">
        <w:rPr>
          <w:lang w:val="en-GB"/>
        </w:rPr>
        <w:t>several</w:t>
      </w:r>
      <w:r w:rsidR="009A53BD" w:rsidRPr="001177AF">
        <w:rPr>
          <w:lang w:val="en-GB"/>
        </w:rPr>
        <w:t xml:space="preserve"> abnormalities, including reduced voice volume, breathy voice, poor articulation, jerky speech, and incomplete glottic closure.</w:t>
      </w:r>
      <w:r w:rsidR="009A53BD" w:rsidRPr="001177AF" w:rsidDel="00754CD2">
        <w:rPr>
          <w:lang w:val="en-GB"/>
        </w:rPr>
        <w:t xml:space="preserve"> </w:t>
      </w:r>
      <w:r w:rsidR="00622EF0" w:rsidRPr="001177AF">
        <w:rPr>
          <w:lang w:val="en-GB"/>
        </w:rPr>
        <w:fldChar w:fldCharType="begin"/>
      </w:r>
      <w:r w:rsidR="00726C10" w:rsidRPr="001177AF">
        <w:rPr>
          <w:lang w:val="en-GB"/>
        </w:rPr>
        <w:instrText>ADDIN F1000_CSL_CITATION&lt;~#@#~&gt;[{"DOI":"10.1016/j.jocn.2019.12.029","First":false,"Last":false,"PMID":"31952969","abstract":"Emerging evidence suggests voice dysfunction is the earliest sign of motor impairment in Parkinson's disease (PD). The complexity and fine motor control involved in vocalization may result in dysfunction here before the limbs. The voice in PD demonstrates characteristic changes on perceptual and acoustic analyses. The physiological and anatomical correlates of these have been investigated through laryngoscopy, stroboscopy, photoglottography, laryngeal electromyography, computed-tomography, pulmonary function testing and aerodynamic assessments. These have revealed numerous abnormalities including incomplete glottic closure and vocal fold hypoadduction/bowing to account for these voice changes. Many of these phenomena are likely related to rigidity or bradykinesia of the laryngeal muscles. The early onset of voice changes is resonant with the pathophysiological insights offered by Braak's hypothesis and murine models of the disease. These physiological abnormalities and pathological models largely stand to support dopaminergic and non-dopaminergic mechanisms being implicated in the pathogenesis of voice dysfunction. This review focuses on characterizing the voice changes in PD. These stand as a promising area of enquiry to further our understanding of the pathophysiology of the disease and offer potential to be utilized as an early diagnostic biomarker or marker of disease progression.&lt;br&gt;&lt;br&gt;Copyright © 2020 Elsevier Ltd. All rights reserved.","author":[{"family":"Ma","given":"Andrew"},{"family":"Lau","given":"Kenneth K"},{"family":"Thyagarajan","given":"Dominic"}],"authorYearDisplayFormat":false,"citation-label":"13634999","container-title":"Journal of Clinical Neuroscience","container-title-short":"J. Clin. Neurosci.","id":"13634999","invisible":false,"issued":{"date-parts":[["2020","2"]]},"journalAbbreviation":"J. Clin. Neurosci.","page":"1-7","suppress-author":false,"title":"Voice changes in Parkinson's disease: What are they telling us?","type":"article-journal","volume":"72"},{"DOI":"10.33588/rn.7011.2019414","First":false,"Last":false,"PMID":"32436206","abstract":"&lt;strong&gt;AIM:&lt;/strong&gt; To systematically review all the literature, focusing on instrumental quantitative assessment of voice in patients with Parkinson's disease (PD). Furthermore, a meta-analysis was performed to identify the main characteristics of voice disturbances in PD.&lt;br&gt;&lt;br&gt;&lt;strong&gt;PATIENTS AND METHODS:&lt;/strong&gt; Literature searches with the keywords «Parkinson» and «voice» were conducted in PubMed, EMBASE, Cochrane Library and Web of Science. Main inclusion criteria were: clinically confirmed PD and instrumented measurement of voice parameters with acoustic analysis of voice.&lt;br&gt;&lt;br&gt;&lt;strong&gt;RESULTS:&lt;/strong&gt; Fourteen publications met the inclusion criteria and were included in the meta-analysis. The data within the meta-analysis revealed that several voice parameters including jitter, shimmer and fundamental frequency variation presented significant variations between patients with EP and healthy controls. Significant variations of fundamental frequency, maximum phonation time, harmonic to noise ratio, standard deviation of fundamental frequency were observed, but with a high heterogeneity between the studies. On the other hand, significant variations of noise to harmonic ratio, s/z ratio, variation of amplitude were not observed.&lt;br&gt;&lt;br&gt;&lt;strong&gt;CONCLUSION:&lt;/strong&gt; Acoustic analysis of voice, using an electronic system, allows the identification of changes in voice parameters for predicting the worsening of disease and for targeting specific intervention. Among the voice parameters, jitter and shimmer significantly increased in patients with PD.","author":[{"family":"Chiaramonte","given":"R"},{"family":"Bonfiglio","given":"M"}],"authorYearDisplayFormat":false,"citation-label":"9751324","container-title":"Revista de Neurologia","container-title-short":"Rev. Neurol.","id":"9751324","invisible":false,"issue":"11","issued":{"date-parts":[["2020","6","1"]]},"journalAbbreviation":"Rev. Neurol.","page":"393-405","suppress-author":false,"title":"Acoustic analysis of voice in Parkinson's disease: a systematic review of voice disability and meta-analysis of studies.","type":"article-journal","volume":"70"},{"DOI":"10.1016/j.jbi.2019.103362","First":false,"Last":false,"PMID":"31866434","abstract":"Voice technology has grown tremendously in recent years and using voice as a biomarker has also been gaining evidence. We demonstrate the potential of voice in serving as a deep phenotype for Parkinson's Disease (PD), the second most common neurodegenerative disorder worldwide, by presenting methodology for voice signal processing for clinical analysis. Detection of PD symptoms typically requires an exam by a movement disorder specialist and can be hard to access and inconsistent in findings. A vocal digital biomarker could supplement the cumbersome existing manual exam by detecting and quantifying symptoms to guide treatment. Specifically, vocal biomarkers of PD are a potentially effective method of assessing symptoms and severity in daily life, which is the focus of the current research. We analyzed a database of PD patient and non-PD subjects containing voice recordings that were used to extract paralinguistic features, which served as inputs to machine learning models to predict PD severity. The results are presented here and the limitations are discussed given the nature of the recordings. We note that our methodology only advances biomarker research and is not cleared for clinical use. Specifically, we demonstrate that conventional machine learning models applied to voice signals can be used to differentiate participants with PD who exhibit little to no symptoms from healthy controls. This work highlights the potential of voice to be used for early detection of PD and indicates that voice may serve as a deep phenotype for PD, enabling precision medicine by improving the speed, accuracy, accessibility, and cost of PD management.&lt;br&gt;&lt;br&gt;Published by Elsevier Inc.","author":[{"family":"Tracy","given":"John M"},{"family":"Özkanca","given":"Yasin"},{"family":"Atkins","given":"David C"},{"family":"Hosseini Ghomi","given":"Reza"}],"authorYearDisplayFormat":false,"citation-label":"8992077","container-title":"Journal of Biomedical Informatics","container-title-short":"J. Biomed. Inform.","id":"8992077","invisible":false,"issued":{"date-parts":[["2020","4"]]},"journalAbbreviation":"J. Biomed. Inform.","page":"103362","suppress-author":false,"title":"Investigating voice as a biomarker: Deep phenotyping methods for early detection of Parkinson's disease.","type":"article-journal","volume":"104"},{"DOI":"10.1186/1475-925X-6-23","First":false,"Last":false,"PMCID":"PMC1913514","PMID":"17594480","abstract":"&lt;strong&gt;BACKGROUND:&lt;/strong&gt; Voice disorders affect patients profoundly, and acoustic tools can potentially measure voice function objectively. Disordered sustained vowels exhibit wide-ranging phenomena, from nearly periodic to highly complex, aperiodic vibrations, and increased \"breathiness\". Modelling and surrogate data studies have shown significant nonlinear and non-Gaussian random properties in these sounds. Nonetheless, existing tools are limited to analysing voices displaying near periodicity, and do not account for this inherent biophysical nonlinearity and non-Gaussian randomness, often using linear signal processing methods insensitive to these properties. They do not directly measure the two main biophysical symptoms of disorder: complex nonlinear aperiodicity, and turbulent, aeroacoustic, non-Gaussian randomness. Often these tools cannot be applied to more severe disordered voices, limiting their clinical usefulness.&lt;br&gt;&lt;br&gt;&lt;strong&gt;METHODS:&lt;/strong&gt; This paper introduces two new tools to speech analysis: recurrence and fractal scaling, which overcome the range limitations of existing tools by addressing directly these two symptoms of disorder, together reproducing a \"hoarseness\" diagram. A simple bootstrapped classifier then uses these two features to distinguish normal from disordered voices.&lt;br&gt;&lt;br&gt;&lt;strong&gt;RESULTS:&lt;/strong&gt; On a large database of subjects with a wide variety of voice disorders, these new techniques can distinguish normal from disordered cases, using quadratic discriminant analysis, to overall correct classification performance of 91.8 +/- 2.0%. The true positive classification performance is 95.4 +/- 3.2%, and the true negative performance is 91.5 +/- 2.3% (95% confidence). This is shown to outperform all combinations of the most popular classical tools.&lt;br&gt;&lt;br&gt;&lt;strong&gt;CONCLUSION:&lt;/strong&gt; Given the very large number of arbitrary parameters and computational complexity of existing techniques, these new techniques are far simpler and yet achieve clinically useful classification performance using only a basic classification technique. They do so by exploiting the inherent nonlinearity and turbulent randomness in disordered voice signals. They are widely applicable to the whole range of disordered voice phenomena by design. These new measures could therefore be used for a variety of practical clinical purposes.","author":[{"family":"Little","given":"Max A"},{"family":"McSharry","given":"Patrick E"},{"family":"Roberts","given":"Stephen J"},{"family":"Costello","given":"Declan A E"},{"family":"Moroz","given":"Irene M"}],"authorYearDisplayFormat":false,"citation-label":"9268702","container-title":"Biomedical Engineering Online","container-title-short":"Biomed. Eng. Online","id":"9268702","invisible":false,"issued":{"date-parts":[["2007","6","26"]]},"journalAbbreviation":"Biomed. Eng. Online","page":"23","suppress-author":false,"title":"Exploiting nonlinear recurrence and fractal scaling properties for voice disorder detection.","type":"article-journal","volume":"6"}]</w:instrText>
      </w:r>
      <w:r w:rsidR="00622EF0" w:rsidRPr="001177AF">
        <w:rPr>
          <w:lang w:val="en-GB"/>
        </w:rPr>
        <w:fldChar w:fldCharType="separate"/>
      </w:r>
      <w:r w:rsidR="00726C10" w:rsidRPr="001177AF">
        <w:rPr>
          <w:noProof/>
          <w:lang w:val="en-GB"/>
        </w:rPr>
        <w:t>(53–56)</w:t>
      </w:r>
      <w:r w:rsidR="00622EF0" w:rsidRPr="001177AF">
        <w:rPr>
          <w:lang w:val="en-GB"/>
        </w:rPr>
        <w:fldChar w:fldCharType="end"/>
      </w:r>
      <w:r w:rsidR="00DF5EA7" w:rsidRPr="001177AF">
        <w:rPr>
          <w:lang w:val="en-GB"/>
        </w:rPr>
        <w:t xml:space="preserve">. The embedded microphone in smartphones makes voice assessment simple </w:t>
      </w:r>
      <w:r w:rsidR="00C91163" w:rsidRPr="001177AF">
        <w:rPr>
          <w:lang w:val="en-GB"/>
        </w:rPr>
        <w:t>nowadays</w:t>
      </w:r>
      <w:r w:rsidR="00CC7E18" w:rsidRPr="001177AF">
        <w:rPr>
          <w:lang w:val="en-GB"/>
        </w:rPr>
        <w:t xml:space="preserve"> and</w:t>
      </w:r>
      <w:r w:rsidR="00DF5EA7" w:rsidRPr="001177AF">
        <w:rPr>
          <w:lang w:val="en-GB"/>
        </w:rPr>
        <w:t xml:space="preserve"> </w:t>
      </w:r>
      <w:r w:rsidR="00CC7E18" w:rsidRPr="001177AF">
        <w:rPr>
          <w:lang w:val="en-GB"/>
        </w:rPr>
        <w:t>f</w:t>
      </w:r>
      <w:r w:rsidR="00DF5EA7" w:rsidRPr="001177AF">
        <w:rPr>
          <w:lang w:val="en-GB"/>
        </w:rPr>
        <w:t>eatures such as Mel</w:t>
      </w:r>
      <w:r w:rsidR="00C91163" w:rsidRPr="001177AF">
        <w:rPr>
          <w:lang w:val="en-GB"/>
        </w:rPr>
        <w:t>-</w:t>
      </w:r>
      <w:r w:rsidR="00DF5EA7" w:rsidRPr="001177AF">
        <w:rPr>
          <w:lang w:val="en-GB"/>
        </w:rPr>
        <w:t>Frequency</w:t>
      </w:r>
      <w:r w:rsidR="00C91163" w:rsidRPr="001177AF">
        <w:rPr>
          <w:lang w:val="en-GB"/>
        </w:rPr>
        <w:t>-</w:t>
      </w:r>
      <w:r w:rsidR="00DF5EA7" w:rsidRPr="001177AF">
        <w:rPr>
          <w:lang w:val="en-GB"/>
        </w:rPr>
        <w:t>Cepstral</w:t>
      </w:r>
      <w:r w:rsidR="00C91163" w:rsidRPr="001177AF">
        <w:rPr>
          <w:lang w:val="en-GB"/>
        </w:rPr>
        <w:t>-</w:t>
      </w:r>
      <w:r w:rsidR="00DF5EA7" w:rsidRPr="001177AF">
        <w:rPr>
          <w:lang w:val="en-GB"/>
        </w:rPr>
        <w:t>Coefficients, Harmonics</w:t>
      </w:r>
      <w:r w:rsidR="00A1527F" w:rsidRPr="001177AF">
        <w:rPr>
          <w:lang w:val="en-GB"/>
        </w:rPr>
        <w:t>-</w:t>
      </w:r>
      <w:r w:rsidR="00DF5EA7" w:rsidRPr="001177AF">
        <w:rPr>
          <w:lang w:val="en-GB"/>
        </w:rPr>
        <w:t>to</w:t>
      </w:r>
      <w:r w:rsidR="00A1527F" w:rsidRPr="001177AF">
        <w:rPr>
          <w:lang w:val="en-GB"/>
        </w:rPr>
        <w:t>-</w:t>
      </w:r>
      <w:r w:rsidR="00DF5EA7" w:rsidRPr="001177AF">
        <w:rPr>
          <w:lang w:val="en-GB"/>
        </w:rPr>
        <w:t>Noise</w:t>
      </w:r>
      <w:r w:rsidR="00A1527F" w:rsidRPr="001177AF">
        <w:rPr>
          <w:lang w:val="en-GB"/>
        </w:rPr>
        <w:t>-</w:t>
      </w:r>
      <w:r w:rsidR="00DF5EA7" w:rsidRPr="001177AF">
        <w:rPr>
          <w:lang w:val="en-GB"/>
        </w:rPr>
        <w:t>Ratio</w:t>
      </w:r>
      <w:r w:rsidR="0026162B" w:rsidRPr="001177AF">
        <w:rPr>
          <w:lang w:val="en-GB"/>
        </w:rPr>
        <w:t xml:space="preserve">, </w:t>
      </w:r>
      <w:r w:rsidR="002B18A5" w:rsidRPr="001177AF">
        <w:rPr>
          <w:lang w:val="en-GB"/>
        </w:rPr>
        <w:t>s</w:t>
      </w:r>
      <w:r w:rsidR="0026162B" w:rsidRPr="001177AF">
        <w:rPr>
          <w:lang w:val="en-GB"/>
        </w:rPr>
        <w:t>himmer</w:t>
      </w:r>
      <w:r w:rsidR="00684BB5" w:rsidRPr="001177AF">
        <w:rPr>
          <w:lang w:val="en-GB"/>
        </w:rPr>
        <w:t>,</w:t>
      </w:r>
      <w:r w:rsidR="0026162B" w:rsidRPr="001177AF">
        <w:rPr>
          <w:lang w:val="en-GB"/>
        </w:rPr>
        <w:t xml:space="preserve"> and jitter are among the feature</w:t>
      </w:r>
      <w:r w:rsidR="00C91163" w:rsidRPr="001177AF">
        <w:rPr>
          <w:lang w:val="en-GB"/>
        </w:rPr>
        <w:t>s</w:t>
      </w:r>
      <w:r w:rsidR="0026162B" w:rsidRPr="001177AF">
        <w:rPr>
          <w:lang w:val="en-GB"/>
        </w:rPr>
        <w:t xml:space="preserve"> </w:t>
      </w:r>
      <w:r w:rsidR="007D5D81" w:rsidRPr="001177AF">
        <w:rPr>
          <w:lang w:val="en-GB"/>
        </w:rPr>
        <w:t>that</w:t>
      </w:r>
      <w:r w:rsidR="0026162B" w:rsidRPr="001177AF">
        <w:rPr>
          <w:lang w:val="en-GB"/>
        </w:rPr>
        <w:t xml:space="preserve"> different </w:t>
      </w:r>
      <w:r w:rsidR="007D5D81" w:rsidRPr="001177AF">
        <w:rPr>
          <w:lang w:val="en-GB"/>
        </w:rPr>
        <w:t>researchers</w:t>
      </w:r>
      <w:r w:rsidR="0026162B" w:rsidRPr="001177AF">
        <w:rPr>
          <w:lang w:val="en-GB"/>
        </w:rPr>
        <w:t xml:space="preserve"> have reported</w:t>
      </w:r>
      <w:r w:rsidR="00AE1E92" w:rsidRPr="001177AF">
        <w:rPr>
          <w:lang w:val="en-GB"/>
        </w:rPr>
        <w:t xml:space="preserve"> </w:t>
      </w:r>
      <w:r w:rsidR="00AE1E92" w:rsidRPr="001177AF">
        <w:rPr>
          <w:lang w:val="en-GB"/>
        </w:rPr>
        <w:fldChar w:fldCharType="begin"/>
      </w:r>
      <w:r w:rsidR="00726C10" w:rsidRPr="001177AF">
        <w:rPr>
          <w:lang w:val="en-GB"/>
        </w:rPr>
        <w:instrText>ADDIN F1000_CSL_CITATION&lt;~#@#~&gt;[{"DOI":"10.33588/rn.7011.2019414","First":false,"Last":false,"PMID":"32436206","abstract":"&lt;strong&gt;AIM:&lt;/strong&gt; To systematically review all the literature, focusing on instrumental quantitative assessment of voice in patients with Parkinson's disease (PD). Furthermore, a meta-analysis was performed to identify the main characteristics of voice disturbances in PD.&lt;br&gt;&lt;br&gt;&lt;strong&gt;PATIENTS AND METHODS:&lt;/strong&gt; Literature searches with the keywords «Parkinson» and «voice» were conducted in PubMed, EMBASE, Cochrane Library and Web of Science. Main inclusion criteria were: clinically confirmed PD and instrumented measurement of voice parameters with acoustic analysis of voice.&lt;br&gt;&lt;br&gt;&lt;strong&gt;RESULTS:&lt;/strong&gt; Fourteen publications met the inclusion criteria and were included in the meta-analysis. The data within the meta-analysis revealed that several voice parameters including jitter, shimmer and fundamental frequency variation presented significant variations between patients with EP and healthy controls. Significant variations of fundamental frequency, maximum phonation time, harmonic to noise ratio, standard deviation of fundamental frequency were observed, but with a high heterogeneity between the studies. On the other hand, significant variations of noise to harmonic ratio, s/z ratio, variation of amplitude were not observed.&lt;br&gt;&lt;br&gt;&lt;strong&gt;CONCLUSION:&lt;/strong&gt; Acoustic analysis of voice, using an electronic system, allows the identification of changes in voice parameters for predicting the worsening of disease and for targeting specific intervention. Among the voice parameters, jitter and shimmer significantly increased in patients with PD.","author":[{"family":"Chiaramonte","given":"R"},{"family":"Bonfiglio","given":"M"}],"authorYearDisplayFormat":false,"citation-label":"9751324","container-title":"Revista de Neurologia","container-title-short":"Rev. Neurol.","id":"9751324","invisible":false,"issue":"11","issued":{"date-parts":[["2020","6","1"]]},"journalAbbreviation":"Rev. Neurol.","page":"393-405","suppress-author":false,"title":"Acoustic analysis of voice in Parkinson's disease: a systematic review of voice disability and meta-analysis of studies.","type":"article-journal","volume":"70"},{"DOI":"10.1155/2013/389195","First":false,"Last":false,"PMCID":"PMC3872441","PMID":"24386590","abstract":"Impairment of voice and speech occurs in the majority of patients in the course of Parkinson's disease (PD). The aim of the current study was to survey the changes of voice and speech performance in the individual patients over time. 80 patients with PD and 60 healthy speakers were tested and retested after at least 12 months (average time interval: 32.5 months). Participants had to read a given text which was digitally recorded as a source for the perceptual and acoustic analysis. Stage of the disease and global motor impairment were rated according to the accepted scales. As a result, abnormalities of voice and speech were already present in mildly affected patients and there were significant deteriorations of quality of voice and articulatory velocity and precision between baseline and followup examination which showed no correlation with the time interval between the visits. Summarized, voice, and speech performance were found to further deteriorate in the individual patient in the course of time although global motor impairment was widely stable which might be a hint for nondopaminergic mechanisms of progression of dysarthrophonia. Further investigations are warranted to get a better insight into the dynamics of the progression of voice and speech impairment in PD as a precondition for the development of therapeutic approaches. ","author":[{"family":"Skodda","given":"S"},{"family":"Grönheit","given":"W"},{"family":"Mancinelli","given":"N"},{"family":"Schlegel","given":"U"}],"authorYearDisplayFormat":false,"citation-label":"9171303","container-title":"Parkinson's disease","container-title-short":"Parkinsons Dis","id":"9171303","invisible":false,"issued":{"date-parts":[["2013","12","10"]]},"journalAbbreviation":"Parkinsons Dis","page":"389195","suppress-author":false,"title":"Progression of voice and speech impairment in the course of Parkinson's disease: a longitudinal study.","type":"article-journal","volume":"2013"},{"DOI":"10.1038/s42003-022-03002-x","First":false,"Last":false,"PMCID":"PMC8763910","PMID":"35039601","abstract":"Parkinson's disease (PD) is one of the first diseases where digital biomarkers demonstrated excellent performance in differentiating disease from healthy individuals. However, no study has systematically compared and leveraged multiple types of digital biomarkers to predict PD. Particularly, machine learning works on the fine-motor skills of PD are limited. Here, we developed deep learning methods that achieved an AUC (Area Under the receiver operator characteristic Curve) of 0.933 in identifying PD patients on 6418 individuals using 75048 tapping accelerometer and position records. Performance of tapping is superior to gait/rest and voice-based models obtained from the same benchmark population. Assembling the three models achieved a higher AUC of 0.944. Notably, the models not only correlated strongly to, but also performed better than patient self-reported symptom scores in diagnosing PD. This study demonstrates the complementary predictive power of tapping, gait/rest and voice data and establishes integrative deep learning-based models for identifying PD.&lt;br&gt;&lt;br&gt;© 2022. The Author(s).","author":[{"family":"Deng","given":"Kaiwen"},{"family":"Li","given":"Yueming"},{"family":"Zhang","given":"Hanrui"},{"family":"Wang","given":"Jian"},{"family":"Albin","given":"Roger L"},{"family":"Guan","given":"Yuanfang"}],"authorYearDisplayFormat":false,"citation-label":"13092323","container-title":"Communications Biology","container-title-short":"Commun. Biol.","id":"13092323","invisible":false,"issue":"1","issued":{"date-parts":[["2022","1","17"]]},"journalAbbreviation":"Commun. Biol.","page":"58","suppress-author":false,"title":"Heterogeneous digital biomarker integration out-performs patient self-reports in predicting Parkinson's disease.","type":"article-journal","volume":"5"},{"DOI":"10.1609/aaai.v33i01.33011118","First":false,"Last":false,"abstract":"&lt;p&gt;Parkinson’s disease is a neurodegenerative disease that can affect a person’s movement, speech, dexterity, and cognition. Clinicians primarily diagnose Parkinson’s disease by performing a clinical assessment of symptoms. However, misdiagnoses are common. One factor that contributes to misdiagnoses is that the symptoms of Parkinson’s disease may not be prominent at the time the clinical assessment is performed. Here, we present a machine-learning approach towards distinguishing between people with and without Parkinson’s disease using long-term data from smartphone-based walking, voice, tapping and memory tests. We demonstrate that our attentive deep-learning models achieve significant improvements in predictive performance over strong baselines (area under the receiver operating characteristic curve = 0.85) in data from a cohort of 1853 participants. We also show that our models identify meaningful features in the input data. Our results confirm that smartphone data collected over extended periods of time could in the future potentially be used as a digital biomarker for the diagnosis of Parkinson’s disease.&lt;/p&gt;","author":[{"family":"Schwab","given":"Patrick"},{"family":"Karlen","given":"Walter"}],"authorYearDisplayFormat":false,"citation-label":"9268711","container-title":"Proceedings of the AAAI Conference on Artificial Intelligence","container-title-short":"AAAI","id":"9268711","invisible":false,"issued":{"date-parts":[["2019","7","17"]]},"journalAbbreviation":"AAAI","page":"1118-1125","suppress-author":false,"title":"PhoneMD: Learning to Diagnose Parkinson’s Disease from Smartphone Data","type":"article-journal","volume":"33"},{"DOI":"10.1016/j.parkreldis.2015.02.026","First":false,"Last":false,"PMID":"25819808","abstract":"&lt;strong&gt;BACKGROUND:&lt;/strong&gt; Remote, non-invasive and objective tests that can be used to support expert diagnosis for Parkinson's disease (PD) are lacking.&lt;br&gt;&lt;br&gt;&lt;strong&gt;METHODS:&lt;/strong&gt; Participants underwent baseline in-clinic assessments, including the Unified Parkinson's Disease Rating Scale (UPDRS), and were provided smartphones with an Android operating system that contained a smartphone application that assessed voice, posture, gait, finger tapping, and response time. Participants then took the smart phones home to perform the five tasks four times a day for a month. Once a week participants had a remote (telemedicine) visit with a Parkinson disease specialist in which a modified (excluding assessments of rigidity and balance) UPDRS performed. Using statistical analyses of the five tasks recorded using the smartphone from 10 individuals with PD and 10 controls, we sought to: (1) discriminate whether the participant had PD and (2) predict the modified motor portion of the UPDRS.&lt;br&gt;&lt;br&gt;&lt;strong&gt;RESULTS:&lt;/strong&gt; Twenty participants performed an average of 2.7 tests per day (68.9% adherence) for the study duration (average of 34.4 days) in a home and community setting. The analyses of the five tasks differed between those with Parkinson disease and those without. In discriminating participants with PD from controls, the mean sensitivity was 96.2% (SD 2%) and mean specificity was 96.9% (SD 1.9%). The mean error in predicting the modified motor component of the UPDRS (range 11-34) was 1.26 UPDRS points (SD 0.16).&lt;br&gt;&lt;br&gt;&lt;strong&gt;CONCLUSION:&lt;/strong&gt; Measuring PD symptoms via a smartphone is feasible and has potential value as a diagnostic support tool.&lt;br&gt;&lt;br&gt;Copyright © 2015 Elsevier Ltd. All rights reserved.","author":[{"family":"Arora","given":"S"},{"family":"Venkataraman","given":"V"},{"family":"Zhan","given":"A"},{"family":"Donohue","given":"S"},{"family":"Biglan","given":"K M"},{"family":"Dorsey","given":"E R"},{"family":"Little","given":"M A"}],"authorYearDisplayFormat":false,"citation-label":"9254433","container-title":"Parkinsonism &amp; Related Disorders","container-title-short":"Parkinsonism Relat. Disord.","id":"9254433","invisible":false,"issue":"6","issued":{"date-parts":[["2015","6"]]},"journalAbbreviation":"Parkinsonism Relat. Disord.","page":"650-653","suppress-author":false,"title":"Detecting and monitoring the symptoms of Parkinson's disease using smartphones: A pilot study.","type":"article-journal","volume":"21"},{"DOI":"10.1109/TBME.2018.2873252","First":false,"Last":false,"PMCID":"PMC6487914","PMID":"30403615","abstract":"As the collection of mobile health data becomes pervasive, missing data can make large portions of datasets inaccessible for analysis. Missing data has shown particularly problematic for remotely diagnosing and monitoring Parkinson's disease (PD) using smartphones. This contribution presents multi-source ensemble learning, a methodology which combines dataset deconstruction with ensemble learning and enables participants with incomplete data (i.e., where not all sensor data is available) to be included in the training of machine learning models and achieves a 100% participant retention rate. We demonstrate the proposed method on a cohort of 1513 participants, 91.2% of which contributed incomplete data in tapping, gait, voice, and/or memory tests. The use of multi-source ensemble learning, alongside convolutional neural networks (CNNs) capitalizing on the amount of available data, increases PD classification accuracy from 73.1% to 82.0% as compared to traditional techniques. The increase in accuracy is found to be partly caused by the use of multi-channel CNNs and partly caused by developing models using the large cohort of participants. Furthermore, through bootstrap sampling we reveal that feature selection is better performed on a large cohort of participants with incomplete data than on a small number of participants with complete data. The proposed method is applicable to a wide range of wearable/remote monitoring datasets that suffer from missing data and contributes to improving the ability to remotely monitor PD via revealing novel methods of accounting for symptom heterogeneity.","author":[{"family":"Prince","given":"John"},{"family":"Andreotti","given":"Fernando"},{"family":"De Vos","given":"Maarten"}],"authorYearDisplayFormat":false,"citation-label":"6741731","container-title":"IEEE Transactions on Bio-Medical Engineering","container-title-short":"IEEE Trans Biomed Eng","id":"6741731","invisible":false,"issue":"5","issued":{"date-parts":[["2019"]]},"journalAbbreviation":"IEEE Trans Biomed Eng","page":"1402-1411","suppress-author":false,"title":"Multi-Source Ensemble Learning for the Remote Prediction of Parkinson's Disease in the Presence of Source-Wise Missing Data.","type":"article-journal","volume":"66"},{"DOI":"10.1098/rsif.2010.0456","First":false,"Last":false,"PMCID":"PMC3104343","PMID":"21084338","abstract":"The standard reference clinical score quantifying average Parkinson's disease (PD) symptom severity is the Unified Parkinson's Disease Rating Scale (UPDRS). At present, UPDRS is determined by the subjective clinical evaluation of the patient's ability to adequately cope with a range of tasks. In this study, we extend recent findings that UPDRS can be objectively assessed to clinically useful accuracy using simple, self-administered speech tests, without requiring the patient's physical presence in the clinic. We apply a wide range of known speech signal processing algorithms to a large database (approx. 6000 recordings from 42 PD patients, recruited to a six-month, multi-centre trial) and propose a number of novel, nonlinear signal processing algorithms which reveal pathological characteristics in PD more accurately than existing approaches. Robust feature selection algorithms select the optimal subset of these algorithms, which is fed into non-parametric regression and classification algorithms, mapping the signal processing algorithm outputs to UPDRS. We demonstrate rapid, accurate replication of the UPDRS assessment with clinically useful accuracy (about 2 UPDRS points difference from the clinicians' estimates, p&lt; 0.001). This study supports the viability of frequent, remote, cost-effective, objective, accurate UPDRS telemonitoring based on self-administered speech tests. This technology could facilitate large-scale clinical trials into novel PD treatments.&lt;br&gt;&lt;br&gt;© 2010 The Royal Society","author":[{"family":"Tsanas","given":"Athanasios"},{"family":"Little","given":"Max A"},{"family":"McSharry","given":"Patrick E"},{"family":"Ramig","given":"Lorraine O"}],"authorYearDisplayFormat":false,"citation-label":"9268460","container-title":"Journal of the Royal Society, Interface","container-title-short":"J. R. Soc. Interface","id":"9268460","invisible":false,"issue":"59","issued":{"date-parts":[["2011","6","6"]]},"journalAbbreviation":"J. R. Soc. Interface","page":"842-855","suppress-author":false,"title":"Nonlinear speech analysis algorithms mapped to a standard metric achieve clinically useful quantification of average Parkinson's disease symptom severity.","type":"article-journal","volume":"8"}]</w:instrText>
      </w:r>
      <w:r w:rsidR="00AE1E92" w:rsidRPr="001177AF">
        <w:rPr>
          <w:lang w:val="en-GB"/>
        </w:rPr>
        <w:fldChar w:fldCharType="separate"/>
      </w:r>
      <w:r w:rsidR="00726C10" w:rsidRPr="001177AF">
        <w:rPr>
          <w:noProof/>
          <w:lang w:val="en-GB"/>
        </w:rPr>
        <w:t>(15,54,57–61)</w:t>
      </w:r>
      <w:r w:rsidR="00AE1E92" w:rsidRPr="001177AF">
        <w:rPr>
          <w:lang w:val="en-GB"/>
        </w:rPr>
        <w:fldChar w:fldCharType="end"/>
      </w:r>
      <w:r w:rsidR="0026162B" w:rsidRPr="001177AF">
        <w:rPr>
          <w:lang w:val="en-GB"/>
        </w:rPr>
        <w:t>.</w:t>
      </w:r>
    </w:p>
    <w:p w14:paraId="44CC9B41" w14:textId="3A94FF11" w:rsidR="00B07083" w:rsidRPr="001177AF" w:rsidRDefault="006E56AF" w:rsidP="00226B67">
      <w:pPr>
        <w:spacing w:line="360" w:lineRule="auto"/>
        <w:jc w:val="both"/>
        <w:rPr>
          <w:lang w:val="en-GB"/>
        </w:rPr>
      </w:pPr>
      <w:r w:rsidRPr="001177AF">
        <w:rPr>
          <w:lang w:val="en-GB"/>
        </w:rPr>
        <w:t>Several tasks are</w:t>
      </w:r>
      <w:r w:rsidR="00762E7C" w:rsidRPr="001177AF">
        <w:rPr>
          <w:lang w:val="en-GB"/>
        </w:rPr>
        <w:t xml:space="preserve"> designed </w:t>
      </w:r>
      <w:r w:rsidR="007D5D81" w:rsidRPr="001177AF">
        <w:rPr>
          <w:lang w:val="en-GB"/>
        </w:rPr>
        <w:t>to aid the</w:t>
      </w:r>
      <w:r w:rsidR="00762E7C" w:rsidRPr="001177AF">
        <w:rPr>
          <w:lang w:val="en-GB"/>
        </w:rPr>
        <w:t xml:space="preserve"> objective assessment of PD symptoms </w:t>
      </w:r>
      <w:r w:rsidR="007D5D81" w:rsidRPr="001177AF">
        <w:rPr>
          <w:lang w:val="en-GB"/>
        </w:rPr>
        <w:t xml:space="preserve">using smartphones, </w:t>
      </w:r>
      <w:r w:rsidR="00762E7C" w:rsidRPr="001177AF">
        <w:rPr>
          <w:lang w:val="en-GB"/>
        </w:rPr>
        <w:t xml:space="preserve">such as </w:t>
      </w:r>
      <w:r w:rsidR="00C847FB" w:rsidRPr="001177AF">
        <w:rPr>
          <w:lang w:val="en-GB"/>
        </w:rPr>
        <w:t>s</w:t>
      </w:r>
      <w:r w:rsidR="00762E7C" w:rsidRPr="001177AF">
        <w:rPr>
          <w:lang w:val="en-GB"/>
        </w:rPr>
        <w:t xml:space="preserve">pirography, sway task, tapping task, </w:t>
      </w:r>
      <w:r w:rsidR="007D5D81" w:rsidRPr="001177AF">
        <w:rPr>
          <w:lang w:val="en-GB"/>
        </w:rPr>
        <w:t>and Time-Up-</w:t>
      </w:r>
      <w:r w:rsidR="00762E7C" w:rsidRPr="001177AF">
        <w:rPr>
          <w:lang w:val="en-GB"/>
        </w:rPr>
        <w:t>and</w:t>
      </w:r>
      <w:r w:rsidR="007D5D81" w:rsidRPr="001177AF">
        <w:rPr>
          <w:lang w:val="en-GB"/>
        </w:rPr>
        <w:t>-G</w:t>
      </w:r>
      <w:r w:rsidR="00762E7C" w:rsidRPr="001177AF">
        <w:rPr>
          <w:lang w:val="en-GB"/>
        </w:rPr>
        <w:t>o</w:t>
      </w:r>
      <w:r w:rsidR="00A231F2" w:rsidRPr="001177AF">
        <w:rPr>
          <w:lang w:val="en-GB"/>
        </w:rPr>
        <w:t xml:space="preserve"> (TUG)</w:t>
      </w:r>
      <w:r w:rsidR="003E33E7" w:rsidRPr="001177AF">
        <w:rPr>
          <w:lang w:val="en-GB"/>
        </w:rPr>
        <w:t>. These tasks can</w:t>
      </w:r>
      <w:r w:rsidR="007D5D81" w:rsidRPr="001177AF">
        <w:rPr>
          <w:lang w:val="en-GB"/>
        </w:rPr>
        <w:t xml:space="preserve"> also</w:t>
      </w:r>
      <w:r w:rsidR="003E33E7" w:rsidRPr="001177AF">
        <w:rPr>
          <w:lang w:val="en-GB"/>
        </w:rPr>
        <w:t xml:space="preserve"> be used with </w:t>
      </w:r>
      <w:r w:rsidR="00400D7E" w:rsidRPr="001177AF">
        <w:rPr>
          <w:lang w:val="en-GB"/>
        </w:rPr>
        <w:t>passive monitoring</w:t>
      </w:r>
      <w:r w:rsidR="003D005D" w:rsidRPr="001177AF">
        <w:rPr>
          <w:lang w:val="en-GB"/>
        </w:rPr>
        <w:t xml:space="preserve"> of daily activities,</w:t>
      </w:r>
      <w:r w:rsidR="00460763" w:rsidRPr="001177AF">
        <w:rPr>
          <w:lang w:val="en-GB"/>
        </w:rPr>
        <w:t xml:space="preserve"> which does not require user interaction with an application</w:t>
      </w:r>
      <w:r w:rsidR="00060B0F" w:rsidRPr="001177AF">
        <w:rPr>
          <w:lang w:val="en-GB"/>
        </w:rPr>
        <w:t xml:space="preserve">. </w:t>
      </w:r>
      <w:r w:rsidR="00460763" w:rsidRPr="001177AF">
        <w:rPr>
          <w:lang w:val="en-GB"/>
        </w:rPr>
        <w:t>Passive data collection may provide comprehensive insights into PD symptoms through features such as</w:t>
      </w:r>
      <w:r w:rsidR="008E1BED" w:rsidRPr="001177AF">
        <w:rPr>
          <w:lang w:val="en-GB"/>
        </w:rPr>
        <w:t xml:space="preserve"> daily activity</w:t>
      </w:r>
      <w:r w:rsidR="002B18A5" w:rsidRPr="001177AF">
        <w:rPr>
          <w:lang w:val="en-GB"/>
        </w:rPr>
        <w:t>,</w:t>
      </w:r>
      <w:r w:rsidR="008E1BED" w:rsidRPr="001177AF">
        <w:rPr>
          <w:lang w:val="en-GB"/>
        </w:rPr>
        <w:t xml:space="preserve"> time</w:t>
      </w:r>
      <w:r w:rsidR="00D654A9" w:rsidRPr="001177AF">
        <w:rPr>
          <w:lang w:val="en-GB"/>
        </w:rPr>
        <w:t>-</w:t>
      </w:r>
      <w:r w:rsidR="008E1BED" w:rsidRPr="001177AF">
        <w:rPr>
          <w:lang w:val="en-GB"/>
        </w:rPr>
        <w:t>in</w:t>
      </w:r>
      <w:r w:rsidR="00D654A9" w:rsidRPr="001177AF">
        <w:rPr>
          <w:lang w:val="en-GB"/>
        </w:rPr>
        <w:t>-bed</w:t>
      </w:r>
      <w:r w:rsidR="00684BB5" w:rsidRPr="001177AF">
        <w:rPr>
          <w:lang w:val="en-GB"/>
        </w:rPr>
        <w:t>,</w:t>
      </w:r>
      <w:r w:rsidR="00D654A9" w:rsidRPr="001177AF">
        <w:rPr>
          <w:lang w:val="en-GB"/>
        </w:rPr>
        <w:t xml:space="preserve"> and</w:t>
      </w:r>
      <w:r w:rsidR="008E1BED" w:rsidRPr="001177AF">
        <w:rPr>
          <w:lang w:val="en-GB"/>
        </w:rPr>
        <w:t xml:space="preserve"> </w:t>
      </w:r>
      <w:r w:rsidR="00CE14AA" w:rsidRPr="001177AF">
        <w:rPr>
          <w:lang w:val="en-GB"/>
        </w:rPr>
        <w:t xml:space="preserve">the </w:t>
      </w:r>
      <w:r w:rsidR="008E1BED" w:rsidRPr="001177AF">
        <w:rPr>
          <w:lang w:val="en-GB"/>
        </w:rPr>
        <w:t>number of sit-to-stand</w:t>
      </w:r>
      <w:r w:rsidR="00D654A9" w:rsidRPr="001177AF">
        <w:rPr>
          <w:lang w:val="en-GB"/>
        </w:rPr>
        <w:t xml:space="preserve"> transition</w:t>
      </w:r>
      <w:r w:rsidR="001939F9" w:rsidRPr="001177AF">
        <w:rPr>
          <w:lang w:val="en-GB"/>
        </w:rPr>
        <w:t>s</w:t>
      </w:r>
      <w:r w:rsidR="008E1BED" w:rsidRPr="001177AF">
        <w:rPr>
          <w:lang w:val="en-GB"/>
        </w:rPr>
        <w:t xml:space="preserve"> </w:t>
      </w:r>
      <w:r w:rsidR="00D654A9" w:rsidRPr="001177AF">
        <w:rPr>
          <w:lang w:val="en-GB"/>
        </w:rPr>
        <w:fldChar w:fldCharType="begin"/>
      </w:r>
      <w:r w:rsidR="00726C10" w:rsidRPr="001177AF">
        <w:rPr>
          <w:lang w:val="en-GB"/>
        </w:rPr>
        <w:instrText>ADDIN F1000_CSL_CITATION&lt;~#@#~&gt;[{"DOI":"10.1109/CHASE.2017.87","First":false,"ISBN":"978-1-5090-4722-2","Last":false,"abstract":"Smartphone-based assessments have been considered a potential solution to passively monitor gait and mobility in early-stage Parkinson's disease (PD) patients. In the Multiple Ascending Dose clinical trial of PRX002/RG7935, 44 PD patients and 35 age-and gender-matched healthy individuals performed smartphone-based assessments for up to 24 weeks and up to 6 weeks respectively. For \"passive monitoring\", subjects carried the smartphone with them as part of their daily routine, while sensors in the smartphone recording movement data continuously. In total, over 30,000 hours of passive monitoring data were collected. To classify the sensor signal into activity profiles, we built a Human Activity Recognition (HAR) model using Deep Neural Networks (DNN) trained on previously published data. The activity profiles of the participants determined by the HAR model showed significant differences between PD patients and healthy controls in the percentage of time walking and frequency in which subjects changed positions (sitting and standing). This combination of sensor data and machine learning-based activity profiling was shown to hold great promise for use in future clinical practice and drug development.","author":[{"family":"Cheng","given":"Wei-Yi"},{"family":"Scotland","given":"Alf"},{"family":"Lipsmeier","given":"Florian"},{"family":"Kilchenmann","given":"Timothy"},{"family":"Jin","given":"Liping"},{"family":"Schjodt-Eriksen","given":"Jens"},{"family":"Wolf","given":"Detlef"},{"family":"Zhang-Schaerer","given":"Yan-Ping"},{"family":"Garcia","given":"Ignacio Fernandez"},{"family":"Siebourg-Polster","given":"Juliane"},{"family":"Soto","given":"Jay"},{"family":"Verselis","given":"Lynne"},{"family":"Martin-Facklam","given":"Meret"},{"family":"Boess","given":"Frank"},{"family":"Koller","given":"Martin"},{"family":"Grundman","given":"Michael"},{"family":"Monsch","given":"Andreas"},{"family":"Postuma","given":"Ron"},{"family":"Ghosh","given":"Anirvan"},{"family":"Kremer","given":"Thomas"},{"family":"Taylor","given":"Kirsten"},{"family":"Czech","given":"Christian"},{"family":"Gossens","given":"Christian"},{"family":"Lindemann","given":"Michael"}],"authorYearDisplayFormat":false,"citation-label":"7478790","container-title":"2017 IEEE/ACM International Conference on Connected Health: Applications, Systems and Engineering Technologies (CHASE)","event":"2017 IEEE/ACM International Conference on Connected Health: Applications, Systems and Engineering Technologies (CHASE)","id":"7478790","invisible":false,"issued":{"date-parts":[["2017","7","17"]]},"page":"249-250","publisher":"IEEE","suppress-author":false,"title":"Human Activity Recognition from Sensor-Based Large-Scale Continuous Monitoring of Parkinson’s Disease Patients","type":"paper-conference"},{"DOI":"10.1159/000498922","First":false,"Last":false,"PMCID":"PMC7015389","PMID":"32095766","abstract":"We conducted a pilot study using a passive radio-wave-based home monitor in individuals with Parkinson disease (PD) with a focus on gait, home activity, and time in bed. We enrolled 7 ambulatory individuals to have the device installed in the bedroom of their homes over 8 weeks and performed standard PD assessments at baseline. We evaluated the ability of the device to objectively measure gait and time in bed and to generate novel visualizations of home activity. We captured 353 days of monitoring. Mean gait speed (0.39-0.78 m/s), time in bed per day (4.4-12.1 h), and number (1.4-5.9) and duration (15.0-49.8 min) of nightly awakenings varied substantially across and within individuals. Derived gait speed correlated well with the Movement Disorder Society-Unified Parkinson's Disease Rating Scale total (r = -0.88, p = 0.009) and motor sub-score (r = -0.95, p = 0.001). Six of the seven participants agreed that their activity was typical and indicated a willingness to continue monitoring. This technology provided promising new insights into the home activities of those with PD and may be broadly applicable to other chronic conditions.&lt;br&gt;&lt;br&gt;Copyright © 2019 by S. Karger AG, Basel.","author":[{"family":"Kabelac","given":"Zachary"},{"family":"Tarolli","given":"Christopher G"},{"family":"Snyder","given":"Christopher"},{"family":"Feldman","given":"Blake"},{"family":"Glidden","given":"Alistair"},{"family":"Hsu","given":"Chen-Yu"},{"family":"Hristov","given":"Rumen"},{"family":"Dorsey","given":"E Ray"},{"family":"Katabi","given":"Dina"}],"authorYearDisplayFormat":false,"citation-label":"13419937","container-title":"Digital Biomarkers","container-title-short":"Digit. Biomark.","id":"13419937","invisible":false,"issue":"1","issued":{"date-parts":[["2019","4","30"]]},"journalAbbreviation":"Digit. Biomark.","page":"22-30","suppress-author":false,"title":"Passive monitoring at home: A pilot study in parkinson disease.","type":"article-journal","volume":"3"}]</w:instrText>
      </w:r>
      <w:r w:rsidR="00D654A9" w:rsidRPr="001177AF">
        <w:rPr>
          <w:lang w:val="en-GB"/>
        </w:rPr>
        <w:fldChar w:fldCharType="separate"/>
      </w:r>
      <w:r w:rsidR="00726C10" w:rsidRPr="001177AF">
        <w:rPr>
          <w:noProof/>
          <w:lang w:val="en-GB"/>
        </w:rPr>
        <w:t>(62,63)</w:t>
      </w:r>
      <w:r w:rsidR="00D654A9" w:rsidRPr="001177AF">
        <w:rPr>
          <w:lang w:val="en-GB"/>
        </w:rPr>
        <w:fldChar w:fldCharType="end"/>
      </w:r>
      <w:r w:rsidR="008E1BED" w:rsidRPr="001177AF">
        <w:rPr>
          <w:lang w:val="en-GB"/>
        </w:rPr>
        <w:t xml:space="preserve">. </w:t>
      </w:r>
      <w:r w:rsidR="004A29C7" w:rsidRPr="001177AF">
        <w:rPr>
          <w:lang w:val="en-GB"/>
        </w:rPr>
        <w:t xml:space="preserve">However, passive monitoring approaches also </w:t>
      </w:r>
      <w:r w:rsidR="007E5EF5" w:rsidRPr="001177AF">
        <w:rPr>
          <w:lang w:val="en-GB"/>
        </w:rPr>
        <w:t xml:space="preserve">necessitate </w:t>
      </w:r>
      <w:r w:rsidR="004A29C7" w:rsidRPr="001177AF">
        <w:rPr>
          <w:lang w:val="en-GB"/>
        </w:rPr>
        <w:t xml:space="preserve">the investigation of advanced algorithms </w:t>
      </w:r>
      <w:r w:rsidR="00460763" w:rsidRPr="001177AF">
        <w:rPr>
          <w:lang w:val="en-GB"/>
        </w:rPr>
        <w:t xml:space="preserve">to remove </w:t>
      </w:r>
      <w:r w:rsidR="004A29C7" w:rsidRPr="001177AF">
        <w:rPr>
          <w:lang w:val="en-GB"/>
        </w:rPr>
        <w:t>a substantial amount of noise and</w:t>
      </w:r>
      <w:r w:rsidR="006D270B" w:rsidRPr="001177AF">
        <w:rPr>
          <w:lang w:val="en-GB"/>
        </w:rPr>
        <w:t xml:space="preserve"> </w:t>
      </w:r>
      <w:r w:rsidR="001939F9" w:rsidRPr="001177AF">
        <w:rPr>
          <w:lang w:val="en-GB"/>
        </w:rPr>
        <w:t xml:space="preserve">classify huge amounts of </w:t>
      </w:r>
      <w:r w:rsidR="005D54DC" w:rsidRPr="001177AF">
        <w:rPr>
          <w:lang w:val="en-GB"/>
        </w:rPr>
        <w:t>unlabelled</w:t>
      </w:r>
      <w:r w:rsidR="001939F9" w:rsidRPr="001177AF">
        <w:rPr>
          <w:lang w:val="en-GB"/>
        </w:rPr>
        <w:t xml:space="preserve"> data</w:t>
      </w:r>
      <w:r w:rsidR="00EC54D0" w:rsidRPr="001177AF">
        <w:rPr>
          <w:lang w:val="en-GB"/>
        </w:rPr>
        <w:t xml:space="preserve"> </w:t>
      </w:r>
      <w:r w:rsidR="00EC54D0" w:rsidRPr="001177AF">
        <w:rPr>
          <w:lang w:val="en-GB"/>
        </w:rPr>
        <w:fldChar w:fldCharType="begin"/>
      </w:r>
      <w:r w:rsidR="00726C10" w:rsidRPr="001177AF">
        <w:rPr>
          <w:lang w:val="en-GB"/>
        </w:rPr>
        <w:instrText>ADDIN F1000_CSL_CITATION&lt;~#@#~&gt;[{"DOI":"10.1038/s41746-022-00643-4","First":false,"Last":false,"PMCID":"PMC9284971","PMID":"35840653","abstract":"Smartphones and wearables are widely recognised as the foundation for novel Digital Health Technologies (DHTs) for the clinical assessment of Parkinson's disease. Yet, only limited progress has been made towards their regulatory acceptability as effective drug development tools. A key barrier in achieving this goal relates to the influence of a wide range of sources of variability (SoVs) introduced by measurement processes incorporating DHTs, on their ability to detect relevant changes to PD. This paper introduces a conceptual framework to assist clinical research teams investigating a specific Concept of Interest within a particular Context of Use, to identify, characterise, and when possible, mitigate the influence of SoVs. We illustrate how this conceptual framework can be applied in practice through specific examples, including two data-driven case studies.&lt;br&gt;&lt;br&gt;© 2022. The Author(s).","author":[{"family":"Roussos","given":"George"},{"family":"Herrero","given":"Teresa Ruiz"},{"family":"Hill","given":"Derek L"},{"family":"Dowling","given":"Ariel V"},{"family":"L T M Müller","given":"Martijn"},{"family":"Evers","given":"Luc J W"},{"family":"Burton","given":"Jackson"},{"family":"Derungs","given":"Adrian"},{"family":"Fisher","given":"Katherine"},{"family":"Kilambi","given":"Krishna Praneeth"},{"family":"Mehrotra","given":"Nitin"},{"family":"Bhatnagar","given":"Roopal"},{"family":"Sardar","given":"Sakshi"},{"family":"Stephenson","given":"Diane"},{"family":"Adams","given":"Jamie L"},{"family":"Ray Dorsey","given":"E"},{"family":"Cosman","given":"Josh"}],"authorYearDisplayFormat":false,"citation-label":"13430272","container-title":"npj Digital Medicine","container-title-short":"npj Digital Med.","id":"13430272","invisible":false,"issue":"1","issued":{"date-parts":[["2022","7","15"]]},"journalAbbreviation":"npj Digital Med.","page":"93","suppress-author":false,"title":"Identifying and characterising sources of variability in digital outcome measures in Parkinson's disease.","type":"article-journal","volume":"5"}]</w:instrText>
      </w:r>
      <w:r w:rsidR="00EC54D0" w:rsidRPr="001177AF">
        <w:rPr>
          <w:lang w:val="en-GB"/>
        </w:rPr>
        <w:fldChar w:fldCharType="separate"/>
      </w:r>
      <w:r w:rsidR="00726C10" w:rsidRPr="001177AF">
        <w:rPr>
          <w:noProof/>
          <w:lang w:val="en-GB"/>
        </w:rPr>
        <w:t>(64)</w:t>
      </w:r>
      <w:r w:rsidR="00EC54D0" w:rsidRPr="001177AF">
        <w:rPr>
          <w:lang w:val="en-GB"/>
        </w:rPr>
        <w:fldChar w:fldCharType="end"/>
      </w:r>
      <w:r w:rsidR="001939F9" w:rsidRPr="001177AF">
        <w:rPr>
          <w:lang w:val="en-GB"/>
        </w:rPr>
        <w:t>.</w:t>
      </w:r>
    </w:p>
    <w:p w14:paraId="18C59193" w14:textId="10736C96" w:rsidR="00CF4D13" w:rsidRPr="001177AF" w:rsidRDefault="00196B0B" w:rsidP="002920C7">
      <w:pPr>
        <w:spacing w:line="360" w:lineRule="auto"/>
        <w:jc w:val="both"/>
        <w:rPr>
          <w:lang w:val="en-GB" w:eastAsia="en-US"/>
        </w:rPr>
      </w:pPr>
      <w:r w:rsidRPr="001177AF">
        <w:rPr>
          <w:lang w:val="en-GB" w:eastAsia="en-US"/>
        </w:rPr>
        <w:t xml:space="preserve">The use of digital sensors in clinical settings has demonstrated their feasibility in </w:t>
      </w:r>
      <w:r w:rsidR="0003354B" w:rsidRPr="001177AF">
        <w:rPr>
          <w:lang w:val="en-GB" w:eastAsia="en-US"/>
        </w:rPr>
        <w:t>objectively assessing</w:t>
      </w:r>
      <w:r w:rsidRPr="001177AF">
        <w:rPr>
          <w:lang w:val="en-GB" w:eastAsia="en-US"/>
        </w:rPr>
        <w:t xml:space="preserve"> PD symptoms </w:t>
      </w:r>
      <w:r w:rsidRPr="001177AF">
        <w:rPr>
          <w:lang w:val="en-GB" w:eastAsia="en-US"/>
        </w:rPr>
        <w:fldChar w:fldCharType="begin"/>
      </w:r>
      <w:r w:rsidR="00726C10" w:rsidRPr="001177AF">
        <w:rPr>
          <w:lang w:val="en-GB" w:eastAsia="en-US"/>
        </w:rPr>
        <w:instrText>ADDIN F1000_CSL_CITATION&lt;~#@#~&gt;[{"DOI":"10.1002/mds.27376","First":false,"Last":false,"PMCID":"PMC6175318","PMID":"29701258","abstract":"&lt;strong&gt;BACKGROUND:&lt;/strong&gt; Ubiquitous digital technologies such as smartphone sensors promise to fundamentally change biomedical research and treatment monitoring in neurological diseases such as PD, creating a new domain of digital biomarkers.&lt;br&gt;&lt;br&gt;&lt;strong&gt;OBJECTIVES:&lt;/strong&gt; The present study assessed the feasibility, reliability, and validity of smartphone-based digital biomarkers of PD in a clinical trial setting.&lt;br&gt;&lt;br&gt;&lt;strong&gt;METHODS:&lt;/strong&gt; During a 6-month, phase 1b clinical trial with 44 Parkinson participants, and an independent, 45-day study in 35 age-matched healthy controls, participants completed six daily motor active tests (sustained phonation, rest tremor, postural tremor, finger-tapping, balance, and gait), then carried the smartphone during the day (passive monitoring), enabling assessment of, for example, time spent walking and sit-to-stand transitions by gyroscopic and accelerometer data.&lt;br&gt;&lt;br&gt;&lt;strong&gt;RESULTS:&lt;/strong&gt; Adherence was acceptable: Patients completed active testing on average 3.5 of 7 times/week. Sensor-based features showed moderate-to-excellent test-retest reliability (average intraclass correlation coefficient = 0.84). All active and passive features significantly differentiated PD from controls with P &lt;  0.005. All active test features except sustained phonation were significantly related to corresponding International Parkinson and Movement Disorder Society-Sponsored UPRDS clinical severity ratings. On passive monitoring, time spent walking had a significant (P = 0.005) relationship with average postural instability and gait disturbance scores. Of note, for all smartphone active and passive features except postural tremor, the monitoring procedure detected abnormalities even in those Parkinson participants scored as having no signs in the corresponding International Parkinson and Movement Disorder Society-Sponsored UPRDS items at the site visit.&lt;br&gt;&lt;br&gt;&lt;strong&gt;CONCLUSIONS:&lt;/strong&gt; These findings demonstrate the feasibility of smartphone-based digital biomarkers and indicate that smartphone-sensor technologies provide reliable, valid, clinically meaningful, and highly sensitive phenotypic data in Parkinson's disease. © 2018 The Authors. Movement Disorders published by Wiley Periodicals, Inc. on behalf of International Parkinson and Movement Disorder Society.&lt;br&gt;&lt;br&gt;© 2018 The Authors. Movement Disorders published by Wiley Periodicals, Inc. on behalf of International Parkinson and Movement Disorder Society.","author":[{"family":"Lipsmeier","given":"Florian"},{"family":"Taylor","given":"Kirsten I"},{"family":"Kilchenmann","given":"Timothy"},{"family":"Wolf","given":"Detlef"},{"family":"Scotland","given":"Alf"},{"family":"Schjodt-Eriksen","given":"Jens"},{"family":"Cheng","given":"Wei-Yi"},{"family":"Fernandez-Garcia","given":"Ignacio"},{"family":"Siebourg-Polster","given":"Juliane"},{"family":"Jin","given":"Liping"},{"family":"Soto","given":"Jay"},{"family":"Verselis","given":"Lynne"},{"family":"Boess","given":"Frank"},{"family":"Koller","given":"Martin"},{"family":"Grundman","given":"Michael"},{"family":"Monsch","given":"Andreas U"},{"family":"Postuma","given":"Ronald B"},{"family":"Ghosh","given":"Anirvan"},{"family":"Kremer","given":"Thomas"},{"family":"Czech","given":"Christian"},{"family":"Gossens","given":"Christian"},{"family":"Lindemann","given":"Michael"}],"authorYearDisplayFormat":false,"citation-label":"5186601","container-title":"Movement Disorders","container-title-short":"Mov. Disord.","id":"5186601","invisible":false,"issue":"8","issued":{"date-parts":[["2018","8"]]},"journalAbbreviation":"Mov. Disord.","page":"1287-1297","suppress-author":false,"title":"Evaluation of smartphone-based testing to generate exploratory outcome measures in a phase 1 Parkinson's disease clinical trial.","type":"article-journal","volume":"33"}]</w:instrText>
      </w:r>
      <w:r w:rsidRPr="001177AF">
        <w:rPr>
          <w:lang w:val="en-GB" w:eastAsia="en-US"/>
        </w:rPr>
        <w:fldChar w:fldCharType="separate"/>
      </w:r>
      <w:r w:rsidR="00726C10" w:rsidRPr="001177AF">
        <w:rPr>
          <w:noProof/>
          <w:lang w:val="en-GB" w:eastAsia="en-US"/>
        </w:rPr>
        <w:t>(2)</w:t>
      </w:r>
      <w:r w:rsidRPr="001177AF">
        <w:rPr>
          <w:lang w:val="en-GB" w:eastAsia="en-US"/>
        </w:rPr>
        <w:fldChar w:fldCharType="end"/>
      </w:r>
      <w:r w:rsidRPr="001177AF">
        <w:rPr>
          <w:lang w:val="en-GB" w:eastAsia="en-US"/>
        </w:rPr>
        <w:t xml:space="preserve">. However, the majority of these studies were conducted in a controlled in-clinic environment with a small cohort size </w:t>
      </w:r>
      <w:r w:rsidRPr="001177AF">
        <w:rPr>
          <w:lang w:val="en-GB" w:eastAsia="en-US"/>
        </w:rPr>
        <w:fldChar w:fldCharType="begin"/>
      </w:r>
      <w:r w:rsidR="00726C10" w:rsidRPr="001177AF">
        <w:rPr>
          <w:lang w:val="en-GB" w:eastAsia="en-US"/>
        </w:rPr>
        <w:instrText>ADDIN F1000_CSL_CITATION&lt;~#@#~&gt;[{"DOI":"10.1038/s41587-021-00974-9","First":false,"Last":false,"PMID":"34373643","abstract":"Remote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w:instrText>
      </w:r>
      <w:r w:rsidRPr="001177AF">
        <w:rPr>
          <w:lang w:val="en-GB" w:eastAsia="en-US"/>
        </w:rPr>
        <w:fldChar w:fldCharType="separate"/>
      </w:r>
      <w:r w:rsidR="00726C10" w:rsidRPr="001177AF">
        <w:rPr>
          <w:noProof/>
          <w:lang w:val="en-GB" w:eastAsia="en-US"/>
        </w:rPr>
        <w:t>(6)</w:t>
      </w:r>
      <w:r w:rsidRPr="001177AF">
        <w:rPr>
          <w:lang w:val="en-GB" w:eastAsia="en-US"/>
        </w:rPr>
        <w:fldChar w:fldCharType="end"/>
      </w:r>
      <w:r w:rsidR="005C24B3" w:rsidRPr="001177AF">
        <w:rPr>
          <w:lang w:val="en-GB" w:eastAsia="en-US"/>
        </w:rPr>
        <w:t>, which limits the diversity of the study</w:t>
      </w:r>
      <w:r w:rsidRPr="001177AF">
        <w:rPr>
          <w:lang w:val="en-GB" w:eastAsia="en-US"/>
        </w:rPr>
        <w:t xml:space="preserve"> cohort in terms of disease stages and severity of symptoms. </w:t>
      </w:r>
      <w:r w:rsidR="005C24B3" w:rsidRPr="001177AF">
        <w:rPr>
          <w:lang w:val="en-GB" w:eastAsia="en-US"/>
        </w:rPr>
        <w:t>Moreover</w:t>
      </w:r>
      <w:r w:rsidRPr="001177AF">
        <w:rPr>
          <w:lang w:val="en-GB" w:eastAsia="en-US"/>
        </w:rPr>
        <w:t xml:space="preserve">, </w:t>
      </w:r>
      <w:r w:rsidR="005C24B3" w:rsidRPr="001177AF">
        <w:rPr>
          <w:lang w:val="en-GB" w:eastAsia="en-US"/>
        </w:rPr>
        <w:t xml:space="preserve">these studies often </w:t>
      </w:r>
      <w:r w:rsidRPr="001177AF">
        <w:rPr>
          <w:lang w:val="en-GB" w:eastAsia="en-US"/>
        </w:rPr>
        <w:t xml:space="preserve">lack longitudinal data with higher temporal resolution. Age and disease duration are the two major timescales </w:t>
      </w:r>
      <w:r w:rsidR="005C24B3" w:rsidRPr="001177AF">
        <w:rPr>
          <w:lang w:val="en-GB" w:eastAsia="en-US"/>
        </w:rPr>
        <w:t>that</w:t>
      </w:r>
      <w:r w:rsidRPr="001177AF">
        <w:rPr>
          <w:lang w:val="en-GB" w:eastAsia="en-US"/>
        </w:rPr>
        <w:t xml:space="preserve"> affect </w:t>
      </w:r>
      <w:r w:rsidR="004E0CB0" w:rsidRPr="001177AF">
        <w:rPr>
          <w:lang w:val="en-GB" w:eastAsia="en-US"/>
        </w:rPr>
        <w:t>PD's</w:t>
      </w:r>
      <w:r w:rsidRPr="001177AF">
        <w:rPr>
          <w:lang w:val="en-GB" w:eastAsia="en-US"/>
        </w:rPr>
        <w:t xml:space="preserve"> clinical manifestation (17), </w:t>
      </w:r>
      <w:r w:rsidR="005C24B3" w:rsidRPr="001177AF">
        <w:rPr>
          <w:lang w:val="en-GB" w:eastAsia="en-US"/>
        </w:rPr>
        <w:t xml:space="preserve">and </w:t>
      </w:r>
      <w:r w:rsidRPr="001177AF">
        <w:rPr>
          <w:lang w:val="en-GB" w:eastAsia="en-US"/>
        </w:rPr>
        <w:t>longitudinal studies of PD, particularly in those who do not yet exhibit any motor symptoms but only pre-motor symptoms</w:t>
      </w:r>
      <w:r w:rsidR="005D54DC" w:rsidRPr="001177AF">
        <w:rPr>
          <w:lang w:val="en-GB" w:eastAsia="en-US"/>
        </w:rPr>
        <w:t>,</w:t>
      </w:r>
      <w:r w:rsidRPr="001177AF">
        <w:rPr>
          <w:lang w:val="en-GB" w:eastAsia="en-US"/>
        </w:rPr>
        <w:t xml:space="preserve"> would play a key role in gaining a more accurate insight of disease course and onset. </w:t>
      </w:r>
      <w:r w:rsidR="005C24B3" w:rsidRPr="001177AF">
        <w:rPr>
          <w:lang w:val="en-GB" w:eastAsia="en-US"/>
        </w:rPr>
        <w:t xml:space="preserve">To address these issues and move toward </w:t>
      </w:r>
      <w:r w:rsidR="005D54DC" w:rsidRPr="001177AF">
        <w:rPr>
          <w:lang w:val="en-GB" w:eastAsia="en-US"/>
        </w:rPr>
        <w:t>personalised</w:t>
      </w:r>
      <w:r w:rsidR="005C24B3" w:rsidRPr="001177AF">
        <w:rPr>
          <w:lang w:val="en-GB" w:eastAsia="en-US"/>
        </w:rPr>
        <w:t xml:space="preserve"> health</w:t>
      </w:r>
      <w:r w:rsidRPr="001177AF">
        <w:rPr>
          <w:lang w:val="en-GB" w:eastAsia="en-US"/>
        </w:rPr>
        <w:t xml:space="preserve">, </w:t>
      </w:r>
      <w:r w:rsidR="005C24B3" w:rsidRPr="001177AF">
        <w:rPr>
          <w:lang w:val="en-GB" w:eastAsia="en-US"/>
        </w:rPr>
        <w:t xml:space="preserve">it is necessary to shift </w:t>
      </w:r>
      <w:r w:rsidRPr="001177AF">
        <w:rPr>
          <w:lang w:val="en-GB" w:eastAsia="en-US"/>
        </w:rPr>
        <w:t xml:space="preserve">toward using </w:t>
      </w:r>
      <w:r w:rsidR="005C24B3" w:rsidRPr="001177AF">
        <w:rPr>
          <w:lang w:val="en-GB" w:eastAsia="en-US"/>
        </w:rPr>
        <w:t xml:space="preserve">at-home </w:t>
      </w:r>
      <w:r w:rsidRPr="001177AF">
        <w:rPr>
          <w:lang w:val="en-GB" w:eastAsia="en-US"/>
        </w:rPr>
        <w:t>and self-managed data collection methods</w:t>
      </w:r>
      <w:r w:rsidR="005C24B3" w:rsidRPr="001177AF">
        <w:rPr>
          <w:lang w:val="en-GB" w:eastAsia="en-US"/>
        </w:rPr>
        <w:t xml:space="preserve"> in longitudinal studies with large and diverse populations.</w:t>
      </w:r>
      <w:r w:rsidR="00CF4D13" w:rsidRPr="001177AF">
        <w:rPr>
          <w:lang w:val="en-GB" w:eastAsia="en-US"/>
        </w:rPr>
        <w:t xml:space="preserve"> </w:t>
      </w:r>
    </w:p>
    <w:p w14:paraId="096080A9" w14:textId="3AFF42B5" w:rsidR="00915AC5" w:rsidRPr="001177AF" w:rsidRDefault="00CF4D13" w:rsidP="002920C7">
      <w:pPr>
        <w:spacing w:line="360" w:lineRule="auto"/>
        <w:jc w:val="both"/>
        <w:rPr>
          <w:lang w:val="en-GB" w:eastAsia="en-US"/>
        </w:rPr>
      </w:pPr>
      <w:r w:rsidRPr="001177AF">
        <w:rPr>
          <w:lang w:val="en-GB" w:eastAsia="en-US"/>
        </w:rPr>
        <w:t xml:space="preserve">However, </w:t>
      </w:r>
      <w:r w:rsidR="006E56AF" w:rsidRPr="001177AF">
        <w:rPr>
          <w:lang w:val="en-GB" w:eastAsia="en-US"/>
        </w:rPr>
        <w:t>many sources of variability can</w:t>
      </w:r>
      <w:r w:rsidR="007726A5" w:rsidRPr="001177AF">
        <w:rPr>
          <w:lang w:val="en-GB" w:eastAsia="en-US"/>
        </w:rPr>
        <w:t xml:space="preserve"> influence the validity and reliability of DB</w:t>
      </w:r>
      <w:r w:rsidRPr="001177AF">
        <w:rPr>
          <w:lang w:val="en-GB" w:eastAsia="en-US"/>
        </w:rPr>
        <w:t>s</w:t>
      </w:r>
      <w:r w:rsidR="007726A5" w:rsidRPr="001177AF">
        <w:rPr>
          <w:lang w:val="en-GB" w:eastAsia="en-US"/>
        </w:rPr>
        <w:t xml:space="preserve">, </w:t>
      </w:r>
      <w:r w:rsidRPr="001177AF">
        <w:rPr>
          <w:lang w:val="en-GB" w:eastAsia="en-US"/>
        </w:rPr>
        <w:t xml:space="preserve">leading to </w:t>
      </w:r>
      <w:r w:rsidR="007726A5" w:rsidRPr="001177AF">
        <w:rPr>
          <w:lang w:val="en-GB" w:eastAsia="en-US"/>
        </w:rPr>
        <w:t xml:space="preserve">invalid results and </w:t>
      </w:r>
      <w:r w:rsidRPr="001177AF">
        <w:rPr>
          <w:lang w:val="en-GB" w:eastAsia="en-US"/>
        </w:rPr>
        <w:t xml:space="preserve">hindering </w:t>
      </w:r>
      <w:r w:rsidR="007726A5" w:rsidRPr="001177AF">
        <w:rPr>
          <w:lang w:val="en-GB" w:eastAsia="en-US"/>
        </w:rPr>
        <w:t xml:space="preserve">the interpretation and translation of clinical trials. </w:t>
      </w:r>
      <w:r w:rsidRPr="001177AF">
        <w:rPr>
          <w:lang w:val="en-GB" w:eastAsia="en-US"/>
        </w:rPr>
        <w:t>These sources of variability include s</w:t>
      </w:r>
      <w:r w:rsidR="007726A5" w:rsidRPr="001177AF">
        <w:rPr>
          <w:lang w:val="en-GB" w:eastAsia="en-US"/>
        </w:rPr>
        <w:t>ensor-level (measurement) variability (i.e., recording frequency, placement, quality, etc.) and individual-level variability (i.e., gender, medication, disease manifestation, etc.)</w:t>
      </w:r>
      <w:r w:rsidR="003D5AF5" w:rsidRPr="001177AF">
        <w:rPr>
          <w:lang w:val="en-GB" w:eastAsia="en-US"/>
        </w:rPr>
        <w:t>.</w:t>
      </w:r>
      <w:r w:rsidR="007724D0" w:rsidRPr="001177AF">
        <w:rPr>
          <w:lang w:val="en-GB" w:eastAsia="en-US"/>
        </w:rPr>
        <w:t xml:space="preserve"> </w:t>
      </w:r>
      <w:r w:rsidR="00B13C80" w:rsidRPr="001177AF">
        <w:rPr>
          <w:lang w:val="en-GB" w:eastAsia="en-US"/>
        </w:rPr>
        <w:t xml:space="preserve">The </w:t>
      </w:r>
      <w:r w:rsidRPr="001177AF">
        <w:rPr>
          <w:lang w:val="en-GB" w:eastAsia="en-US"/>
        </w:rPr>
        <w:t xml:space="preserve">use of </w:t>
      </w:r>
      <w:r w:rsidR="00B13C80" w:rsidRPr="001177AF">
        <w:rPr>
          <w:lang w:val="en-GB" w:eastAsia="en-US"/>
        </w:rPr>
        <w:t>at-home-based</w:t>
      </w:r>
      <w:r w:rsidR="007724D0" w:rsidRPr="001177AF">
        <w:rPr>
          <w:lang w:val="en-GB" w:eastAsia="en-US"/>
        </w:rPr>
        <w:t xml:space="preserve"> </w:t>
      </w:r>
      <w:r w:rsidRPr="001177AF">
        <w:rPr>
          <w:lang w:val="en-GB" w:eastAsia="en-US"/>
        </w:rPr>
        <w:t xml:space="preserve">data collection </w:t>
      </w:r>
      <w:r w:rsidR="00B13C80" w:rsidRPr="001177AF">
        <w:rPr>
          <w:lang w:val="en-GB" w:eastAsia="en-US"/>
        </w:rPr>
        <w:t>introduces</w:t>
      </w:r>
      <w:r w:rsidR="007724D0" w:rsidRPr="001177AF">
        <w:rPr>
          <w:lang w:val="en-GB" w:eastAsia="en-US"/>
        </w:rPr>
        <w:t xml:space="preserve"> </w:t>
      </w:r>
      <w:r w:rsidRPr="001177AF">
        <w:rPr>
          <w:lang w:val="en-GB" w:eastAsia="en-US"/>
        </w:rPr>
        <w:t xml:space="preserve">an additional </w:t>
      </w:r>
      <w:r w:rsidR="00542D0B" w:rsidRPr="001177AF">
        <w:rPr>
          <w:lang w:val="en-GB" w:eastAsia="en-US"/>
        </w:rPr>
        <w:t xml:space="preserve">source of </w:t>
      </w:r>
      <w:r w:rsidRPr="001177AF">
        <w:rPr>
          <w:lang w:val="en-GB" w:eastAsia="en-US"/>
        </w:rPr>
        <w:t>variabilities,</w:t>
      </w:r>
      <w:r w:rsidR="00542D0B" w:rsidRPr="001177AF">
        <w:rPr>
          <w:lang w:val="en-GB" w:eastAsia="en-US"/>
        </w:rPr>
        <w:t xml:space="preserve"> such as selection bias, the effect of learning and motivation, </w:t>
      </w:r>
      <w:r w:rsidR="00F469DC" w:rsidRPr="001177AF">
        <w:rPr>
          <w:lang w:val="en-GB" w:eastAsia="en-US"/>
        </w:rPr>
        <w:t>the inclusion of multiple recordings for each participant</w:t>
      </w:r>
      <w:r w:rsidR="00CB2F56" w:rsidRPr="001177AF">
        <w:rPr>
          <w:lang w:val="en-GB" w:eastAsia="en-US"/>
        </w:rPr>
        <w:t>,</w:t>
      </w:r>
      <w:r w:rsidR="00F469DC" w:rsidRPr="001177AF">
        <w:rPr>
          <w:lang w:val="en-GB" w:eastAsia="en-US"/>
        </w:rPr>
        <w:t xml:space="preserve"> and the ability to follow instructions </w:t>
      </w:r>
      <w:r w:rsidR="00F469DC" w:rsidRPr="001177AF">
        <w:rPr>
          <w:lang w:val="en-GB" w:eastAsia="en-US"/>
        </w:rPr>
        <w:fldChar w:fldCharType="begin"/>
      </w:r>
      <w:r w:rsidR="00726C10" w:rsidRPr="001177AF">
        <w:rPr>
          <w:lang w:val="en-GB" w:eastAsia="en-US"/>
        </w:rPr>
        <w:instrText>ADDIN F1000_CSL_CITATION&lt;~#@#~&gt;[{"DOI":"10.1038/s41587-021-00974-9","First":false,"Last":false,"PMID":"34373643","abstract":"Remote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therapy.","type":"article-journal","volume":"40"},{"DOI":"10.1038/s41746-019-0178-x","First":false,"Last":false,"PMCID":"PMC6789029","PMID":"31633058","abstract":"Collection of high-dimensional, longitudinal digital health data has the potential to support a wide-variety of research and clinical applications including diagnostics and longitudinal health tracking. Algorithms that process these data and inform digital diagnostics are typically developed using training and test sets generated from multiple repeated measures collected across a set of individuals. However, the inclusion of repeated measurements is not always appropriately taken into account in the analytical evaluations of predictive performance. The assignment of repeated measurements from each individual to both the training and the test sets (\"record-wise\" data split) is a common practice and can lead to massive underestimation of the prediction error due to the presence of \"identity confounding.\" In essence, these models learn to identify subjects, in addition to diagnostic signal. Here, we present a method that can be used to effectively calculate the amount of identity confounding learned by classifiers developed using a record-wise data split. By applying this method to several real datasets, we demonstrate that identity confounding is a serious issue in digital health studies and that record-wise data splits for machine learning- based applications need to be avoided.&lt;br&gt;&lt;br&gt;© The Author(s) 2019.","author":[{"family":"Chaibub Neto","given":"Elias"},{"family":"Pratap","given":"Abhishek"},{"family":"Perumal","given":"Thanneer M"},{"family":"Tummalacherla","given":"Meghasyam"},{"family":"Snyder","given":"Phil"},{"family":"Bot","given":"Brian M"},{"family":"Trister","given":"Andrew D"},{"family":"Friend","given":"Stephen H"},{"family":"Mangravite","given":"Lara"},{"family":"Omberg","given":"Larsson"}],"authorYearDisplayFormat":false,"citation-label":"8908978","container-title":"npj Digital Medicine","container-title-short":"npj Digital Med.","id":"8908978","invisible":false,"issued":{"date-parts":[["2019","10","11"]]},"journalAbbreviation":"npj Digital Med.","page":"99","suppress-author":false,"title":"Detecting the impact of subject characteristics on machine learning-based diagnostic applications.","type":"article-journal","volume":"2"}]</w:instrText>
      </w:r>
      <w:r w:rsidR="00F469DC" w:rsidRPr="001177AF">
        <w:rPr>
          <w:lang w:val="en-GB" w:eastAsia="en-US"/>
        </w:rPr>
        <w:fldChar w:fldCharType="separate"/>
      </w:r>
      <w:r w:rsidR="00726C10" w:rsidRPr="001177AF">
        <w:rPr>
          <w:noProof/>
          <w:lang w:val="en-GB" w:eastAsia="en-US"/>
        </w:rPr>
        <w:t>(6,65)</w:t>
      </w:r>
      <w:r w:rsidR="00F469DC" w:rsidRPr="001177AF">
        <w:rPr>
          <w:lang w:val="en-GB" w:eastAsia="en-US"/>
        </w:rPr>
        <w:fldChar w:fldCharType="end"/>
      </w:r>
      <w:r w:rsidR="00F469DC" w:rsidRPr="001177AF">
        <w:rPr>
          <w:lang w:val="en-GB" w:eastAsia="en-US"/>
        </w:rPr>
        <w:t xml:space="preserve">. </w:t>
      </w:r>
      <w:r w:rsidR="00BC2962" w:rsidRPr="001177AF">
        <w:rPr>
          <w:lang w:val="en-GB" w:eastAsia="en-US"/>
        </w:rPr>
        <w:t>Furthermore, t</w:t>
      </w:r>
      <w:r w:rsidR="006B7860" w:rsidRPr="001177AF">
        <w:rPr>
          <w:lang w:val="en-GB" w:eastAsia="en-US"/>
        </w:rPr>
        <w:t xml:space="preserve">here is still a lack of clarity on </w:t>
      </w:r>
      <w:r w:rsidR="005F35F7" w:rsidRPr="001177AF">
        <w:rPr>
          <w:lang w:val="en-GB" w:eastAsia="en-US"/>
        </w:rPr>
        <w:t>whether</w:t>
      </w:r>
      <w:r w:rsidR="006B7860" w:rsidRPr="001177AF">
        <w:rPr>
          <w:lang w:val="en-GB" w:eastAsia="en-US"/>
        </w:rPr>
        <w:t xml:space="preserve"> the impact of these variations remains the same throughout the course </w:t>
      </w:r>
      <w:r w:rsidR="008A0362" w:rsidRPr="001177AF">
        <w:rPr>
          <w:lang w:val="en-GB" w:eastAsia="en-US"/>
        </w:rPr>
        <w:t xml:space="preserve">of </w:t>
      </w:r>
      <w:r w:rsidR="00B13C80" w:rsidRPr="001177AF">
        <w:rPr>
          <w:lang w:val="en-GB" w:eastAsia="en-US"/>
        </w:rPr>
        <w:t xml:space="preserve">the </w:t>
      </w:r>
      <w:r w:rsidR="008A0362" w:rsidRPr="001177AF">
        <w:rPr>
          <w:lang w:val="en-GB" w:eastAsia="en-US"/>
        </w:rPr>
        <w:t xml:space="preserve">disease </w:t>
      </w:r>
      <w:r w:rsidR="006B7860" w:rsidRPr="001177AF">
        <w:rPr>
          <w:lang w:val="en-GB" w:eastAsia="en-US"/>
        </w:rPr>
        <w:t xml:space="preserve">or </w:t>
      </w:r>
      <w:r w:rsidR="00DF2B45" w:rsidRPr="001177AF">
        <w:rPr>
          <w:lang w:val="en-GB" w:eastAsia="en-US"/>
        </w:rPr>
        <w:lastRenderedPageBreak/>
        <w:t>whether</w:t>
      </w:r>
      <w:r w:rsidR="006B7860" w:rsidRPr="001177AF">
        <w:rPr>
          <w:lang w:val="en-GB" w:eastAsia="en-US"/>
        </w:rPr>
        <w:t xml:space="preserve"> they have varying effects.</w:t>
      </w:r>
      <w:r w:rsidR="008A0362" w:rsidRPr="001177AF">
        <w:rPr>
          <w:lang w:val="en-GB" w:eastAsia="en-US"/>
        </w:rPr>
        <w:t xml:space="preserve"> </w:t>
      </w:r>
      <w:r w:rsidR="004142EB" w:rsidRPr="001177AF">
        <w:rPr>
          <w:lang w:val="en-GB" w:eastAsia="en-US"/>
        </w:rPr>
        <w:t xml:space="preserve">When taking into consideration the heterogeneous character of PD, this challenge also receives an additional layer of difficulty </w:t>
      </w:r>
      <w:r w:rsidR="004142EB" w:rsidRPr="001177AF">
        <w:rPr>
          <w:lang w:val="en-GB" w:eastAsia="en-US"/>
        </w:rPr>
        <w:fldChar w:fldCharType="begin"/>
      </w:r>
      <w:r w:rsidR="00726C10" w:rsidRPr="001177AF">
        <w:rPr>
          <w:lang w:val="en-GB" w:eastAsia="en-US"/>
        </w:rPr>
        <w:instrText>ADDIN F1000_CSL_CITATION&lt;~#@#~&gt;[{"DOI":"10.1038/s41746-022-00643-4","First":false,"Last":false,"PMCID":"PMC9284971","PMID":"35840653","abstract":"Smartphones and wearables are widely recognised as the foundation for novel Digital Health Technologies (DHTs) for the clinical assessment of Parkinson's disease. Yet, only limited progress has been made towards their regulatory acceptability as effective drug development tools. A key barrier in achieving this goal relates to the influence of a wide range of sources of variability (SoVs) introduced by measurement processes incorporating DHTs, on their ability to detect relevant changes to PD. This paper introduces a conceptual framework to assist clinical research teams investigating a specific Concept of Interest within a particular Context of Use, to identify, characterise, and when possible, mitigate the influence of SoVs. We illustrate how this conceptual framework can be applied in practice through specific examples, including two data-driven case studies.&lt;br&gt;&lt;br&gt;© 2022. The Author(s).","author":[{"family":"Roussos","given":"George"},{"family":"Herrero","given":"Teresa Ruiz"},{"family":"Hill","given":"Derek L"},{"family":"Dowling","given":"Ariel V"},{"family":"L T M Müller","given":"Martijn"},{"family":"Evers","given":"Luc J W"},{"family":"Burton","given":"Jackson"},{"family":"Derungs","given":"Adrian"},{"family":"Fisher","given":"Katherine"},{"family":"Kilambi","given":"Krishna Praneeth"},{"family":"Mehrotra","given":"Nitin"},{"family":"Bhatnagar","given":"Roopal"},{"family":"Sardar","given":"Sakshi"},{"family":"Stephenson","given":"Diane"},{"family":"Adams","given":"Jamie L"},{"family":"Ray Dorsey","given":"E"},{"family":"Cosman","given":"Josh"}],"authorYearDisplayFormat":false,"citation-label":"13430272","container-title":"npj Digital Medicine","container-title-short":"npj Digital Med.","id":"13430272","invisible":false,"issue":"1","issued":{"date-parts":[["2022","7","15"]]},"journalAbbreviation":"npj Digital Med.","page":"93","suppress-author":false,"title":"Identifying and characterising sources of variability in digital outcome measures in Parkinson's disease.","type":"article-journal","volume":"5"}]</w:instrText>
      </w:r>
      <w:r w:rsidR="004142EB" w:rsidRPr="001177AF">
        <w:rPr>
          <w:lang w:val="en-GB" w:eastAsia="en-US"/>
        </w:rPr>
        <w:fldChar w:fldCharType="separate"/>
      </w:r>
      <w:r w:rsidR="00726C10" w:rsidRPr="001177AF">
        <w:rPr>
          <w:noProof/>
          <w:lang w:val="en-GB" w:eastAsia="en-US"/>
        </w:rPr>
        <w:t>(64)</w:t>
      </w:r>
      <w:r w:rsidR="004142EB" w:rsidRPr="001177AF">
        <w:rPr>
          <w:lang w:val="en-GB" w:eastAsia="en-US"/>
        </w:rPr>
        <w:fldChar w:fldCharType="end"/>
      </w:r>
      <w:r w:rsidR="004142EB" w:rsidRPr="001177AF">
        <w:rPr>
          <w:lang w:val="en-GB" w:eastAsia="en-US"/>
        </w:rPr>
        <w:t>.</w:t>
      </w:r>
      <w:r w:rsidR="00A00BB4" w:rsidRPr="001177AF">
        <w:rPr>
          <w:lang w:val="en-GB" w:eastAsia="en-US"/>
        </w:rPr>
        <w:t xml:space="preserve"> </w:t>
      </w:r>
      <w:r w:rsidRPr="001177AF">
        <w:rPr>
          <w:lang w:val="en-GB" w:eastAsia="en-US"/>
        </w:rPr>
        <w:t>In addition</w:t>
      </w:r>
      <w:r w:rsidR="00894B06" w:rsidRPr="001177AF">
        <w:rPr>
          <w:lang w:val="en-GB" w:eastAsia="en-US"/>
        </w:rPr>
        <w:t xml:space="preserve">, the impact of </w:t>
      </w:r>
      <w:r w:rsidR="00A00BB4" w:rsidRPr="001177AF">
        <w:rPr>
          <w:lang w:val="en-GB" w:eastAsia="en-US"/>
        </w:rPr>
        <w:t>these variabilities</w:t>
      </w:r>
      <w:r w:rsidR="00894B06" w:rsidRPr="001177AF">
        <w:rPr>
          <w:lang w:val="en-GB" w:eastAsia="en-US"/>
        </w:rPr>
        <w:t xml:space="preserve"> when using the machine learning approaches investigated in automated PD classification—which may result in overly optimistic results—has not been addressed properly thus far</w:t>
      </w:r>
      <w:r w:rsidR="00B14A52" w:rsidRPr="001177AF">
        <w:rPr>
          <w:lang w:val="en-GB" w:eastAsia="en-US"/>
        </w:rPr>
        <w:t>.</w:t>
      </w:r>
    </w:p>
    <w:p w14:paraId="3DAE2D51" w14:textId="4926ECF5" w:rsidR="00A00BB4" w:rsidRPr="001177AF" w:rsidRDefault="00CF4D13" w:rsidP="002920C7">
      <w:pPr>
        <w:spacing w:line="360" w:lineRule="auto"/>
        <w:jc w:val="both"/>
        <w:rPr>
          <w:lang w:val="en-GB"/>
        </w:rPr>
      </w:pPr>
      <w:r w:rsidRPr="001177AF">
        <w:rPr>
          <w:lang w:val="en-GB" w:eastAsia="en-US"/>
        </w:rPr>
        <w:t xml:space="preserve">To address these open questions and </w:t>
      </w:r>
      <w:r w:rsidR="00DC5588" w:rsidRPr="001177AF">
        <w:rPr>
          <w:lang w:val="en-GB" w:eastAsia="en-US"/>
        </w:rPr>
        <w:t>examine</w:t>
      </w:r>
      <w:r w:rsidRPr="001177AF">
        <w:rPr>
          <w:lang w:val="en-GB" w:eastAsia="en-US"/>
        </w:rPr>
        <w:t xml:space="preserve"> the concepts introduced above, </w:t>
      </w:r>
      <w:r w:rsidR="00A00BB4" w:rsidRPr="001177AF">
        <w:rPr>
          <w:lang w:val="en-GB" w:eastAsia="en-US"/>
        </w:rPr>
        <w:t xml:space="preserve">the m-Power dataset, assessed outside of clinical environments in self-administered settings, is being investigated </w:t>
      </w:r>
      <w:r w:rsidR="00A00BB4" w:rsidRPr="001177AF">
        <w:rPr>
          <w:lang w:val="en-GB"/>
        </w:rPr>
        <w:fldChar w:fldCharType="begin"/>
      </w:r>
      <w:r w:rsidR="00726C10" w:rsidRPr="001177AF">
        <w:rPr>
          <w:lang w:val="en-GB"/>
        </w:rPr>
        <w:instrText>ADDIN F1000_CSL_CITATION&lt;~#@#~&gt;[{"DOI":"10.1038/sdata.2016.11","First":false,"Last":false,"PMCID":"PMC4776701","PMID":"26938265","abstract":"Current measures of health and disease are often insensitive, episodic, and subjective. Further, these measures generally are not designed to provide meaningful feedback to individuals. The impact of high-resolution activity data collected from mobile phones is only beginning to be explored. Here we present data from mPower, a clinical observational study about Parkinson disease conducted purely through an iPhone app interface. The study interrogated aspects of this movement disorder through surveys and frequent sensor-based recordings from participants with and without Parkinson disease. Benefitting from large enrollment and repeated measurements on many individuals, these data may help establish baseline variability of real-world activity measurement collected via mobile phones, and ultimately may lead to quantification of the ebbs-and-flows of Parkinson symptoms. App source code for these data collection modules are available through an open source license for use in studies of other conditions. We hope that releasing data contributed by engaged research participants will seed a new community of analysts working collaboratively on understanding mobile health data to advance human health.","author":[{"family":"Bot","given":"Brian M"},{"family":"Suver","given":"Christine"},{"family":"Neto","given":"Elias Chaibub"},{"family":"Kellen","given":"Michael"},{"family":"Klein","given":"Arno"},{"family":"Bare","given":"Christopher"},{"family":"Doerr","given":"Megan"},{"family":"Pratap","given":"Abhishek"},{"family":"Wilbanks","given":"John"},{"family":"Dorsey","given":"E Ray"},{"family":"Friend","given":"Stephen H"},{"family":"Trister","given":"Andrew D"}],"authorYearDisplayFormat":false,"citation-label":"3977571","container-title":"Scientific data","container-title-short":"Sci. Data","id":"3977571","invisible":false,"issued":{"date-parts":[["2016","3","3"]]},"journalAbbreviation":"Sci. Data","page":"160011","suppress-author":false,"title":"The mPower study, Parkinson disease mobile data collected using ResearchKit.","type":"article-journal","volume":"3"}]</w:instrText>
      </w:r>
      <w:r w:rsidR="00A00BB4" w:rsidRPr="001177AF">
        <w:rPr>
          <w:lang w:val="en-GB"/>
        </w:rPr>
        <w:fldChar w:fldCharType="separate"/>
      </w:r>
      <w:r w:rsidR="00726C10" w:rsidRPr="001177AF">
        <w:rPr>
          <w:noProof/>
          <w:lang w:val="en-GB"/>
        </w:rPr>
        <w:t>(66)</w:t>
      </w:r>
      <w:r w:rsidR="00A00BB4" w:rsidRPr="001177AF">
        <w:rPr>
          <w:lang w:val="en-GB"/>
        </w:rPr>
        <w:fldChar w:fldCharType="end"/>
      </w:r>
      <w:r w:rsidR="005D54DC" w:rsidRPr="001177AF">
        <w:rPr>
          <w:lang w:val="en-GB"/>
        </w:rPr>
        <w:t>.</w:t>
      </w:r>
    </w:p>
    <w:p w14:paraId="3EDEF92D" w14:textId="77777777" w:rsidR="00BB57FC" w:rsidRPr="001177AF" w:rsidRDefault="00BB57FC" w:rsidP="002920C7">
      <w:pPr>
        <w:spacing w:line="360" w:lineRule="auto"/>
        <w:jc w:val="both"/>
        <w:rPr>
          <w:lang w:val="en-GB"/>
        </w:rPr>
      </w:pPr>
    </w:p>
    <w:p w14:paraId="1C52547B" w14:textId="4D8AD5EC" w:rsidR="00BB57FC" w:rsidRPr="001177AF" w:rsidRDefault="00BB57FC" w:rsidP="00F4794A">
      <w:pPr>
        <w:pStyle w:val="Heading2"/>
        <w:rPr>
          <w:rFonts w:eastAsiaTheme="minorHAnsi"/>
          <w:lang w:val="en-GB"/>
        </w:rPr>
      </w:pPr>
      <w:bookmarkStart w:id="29" w:name="_Toc132365730"/>
      <w:r w:rsidRPr="001177AF">
        <w:rPr>
          <w:rFonts w:eastAsiaTheme="minorHAnsi"/>
          <w:lang w:val="en-GB"/>
        </w:rPr>
        <w:t>Ethics protocols</w:t>
      </w:r>
      <w:bookmarkEnd w:id="29"/>
    </w:p>
    <w:p w14:paraId="1F9A9FE8" w14:textId="56E05923" w:rsidR="00F978FB" w:rsidRPr="001177AF" w:rsidRDefault="00BB57FC" w:rsidP="00F4794A">
      <w:pPr>
        <w:spacing w:line="360" w:lineRule="auto"/>
        <w:jc w:val="both"/>
        <w:rPr>
          <w:rFonts w:eastAsiaTheme="minorHAnsi"/>
          <w:lang w:val="en-GB" w:eastAsia="en-US"/>
        </w:rPr>
      </w:pPr>
      <w:r w:rsidRPr="001177AF">
        <w:rPr>
          <w:rFonts w:eastAsiaTheme="minorHAnsi"/>
          <w:lang w:val="en-GB" w:eastAsia="en-US"/>
        </w:rPr>
        <w:t>The ethics protocols were approved by</w:t>
      </w:r>
      <w:r w:rsidR="00F978FB" w:rsidRPr="001177AF">
        <w:rPr>
          <w:rFonts w:eastAsiaTheme="minorHAnsi"/>
          <w:lang w:val="en-GB" w:eastAsia="en-US"/>
        </w:rPr>
        <w:t xml:space="preserve"> the Ethics Committee of Heinrich Heine</w:t>
      </w:r>
      <w:r w:rsidR="00A31FE9" w:rsidRPr="001177AF">
        <w:rPr>
          <w:rFonts w:eastAsiaTheme="minorHAnsi"/>
          <w:lang w:val="en-GB" w:eastAsia="en-US"/>
        </w:rPr>
        <w:t xml:space="preserve"> </w:t>
      </w:r>
      <w:r w:rsidR="00F978FB" w:rsidRPr="001177AF">
        <w:rPr>
          <w:rFonts w:eastAsiaTheme="minorHAnsi"/>
          <w:lang w:val="en-GB" w:eastAsia="en-US"/>
        </w:rPr>
        <w:t xml:space="preserve">University </w:t>
      </w:r>
      <w:proofErr w:type="spellStart"/>
      <w:r w:rsidR="00F978FB" w:rsidRPr="001177AF">
        <w:rPr>
          <w:rFonts w:eastAsiaTheme="minorHAnsi"/>
          <w:lang w:val="en-GB" w:eastAsia="en-US"/>
        </w:rPr>
        <w:t>Düsseldorf</w:t>
      </w:r>
      <w:proofErr w:type="spellEnd"/>
      <w:r w:rsidR="00F978FB" w:rsidRPr="001177AF">
        <w:rPr>
          <w:rFonts w:eastAsiaTheme="minorHAnsi"/>
          <w:lang w:val="en-GB" w:eastAsia="en-US"/>
        </w:rPr>
        <w:t xml:space="preserve"> (</w:t>
      </w:r>
      <w:proofErr w:type="spellStart"/>
      <w:r w:rsidR="00F978FB" w:rsidRPr="001177AF">
        <w:rPr>
          <w:rFonts w:eastAsiaTheme="minorHAnsi"/>
          <w:lang w:val="en-GB" w:eastAsia="en-US"/>
        </w:rPr>
        <w:t>Studien</w:t>
      </w:r>
      <w:proofErr w:type="spellEnd"/>
      <w:r w:rsidR="00F978FB" w:rsidRPr="001177AF">
        <w:rPr>
          <w:rFonts w:eastAsiaTheme="minorHAnsi"/>
          <w:lang w:val="en-GB" w:eastAsia="en-US"/>
        </w:rPr>
        <w:t xml:space="preserve">-Nr.: 2020-1077-andere </w:t>
      </w:r>
      <w:proofErr w:type="spellStart"/>
      <w:r w:rsidR="00F978FB" w:rsidRPr="001177AF">
        <w:rPr>
          <w:rFonts w:eastAsiaTheme="minorHAnsi"/>
          <w:lang w:val="en-GB" w:eastAsia="en-US"/>
        </w:rPr>
        <w:t>Forschung</w:t>
      </w:r>
      <w:proofErr w:type="spellEnd"/>
      <w:r w:rsidR="00F978FB" w:rsidRPr="001177AF">
        <w:rPr>
          <w:rFonts w:eastAsiaTheme="minorHAnsi"/>
          <w:lang w:val="en-GB" w:eastAsia="en-US"/>
        </w:rPr>
        <w:t xml:space="preserve"> </w:t>
      </w:r>
      <w:proofErr w:type="spellStart"/>
      <w:r w:rsidR="00F978FB" w:rsidRPr="001177AF">
        <w:rPr>
          <w:rFonts w:eastAsiaTheme="minorHAnsi"/>
          <w:lang w:val="en-GB" w:eastAsia="en-US"/>
        </w:rPr>
        <w:t>erstvotierend</w:t>
      </w:r>
      <w:proofErr w:type="spellEnd"/>
    </w:p>
    <w:p w14:paraId="454D2BEE" w14:textId="6B34C9EA" w:rsidR="00F978FB" w:rsidRPr="001177AF" w:rsidRDefault="00F978FB" w:rsidP="00F4794A">
      <w:pPr>
        <w:spacing w:line="360" w:lineRule="auto"/>
        <w:jc w:val="both"/>
        <w:rPr>
          <w:rFonts w:eastAsiaTheme="minorHAnsi"/>
          <w:lang w:val="en-GB" w:eastAsia="en-US"/>
        </w:rPr>
      </w:pPr>
      <w:r w:rsidRPr="001177AF">
        <w:rPr>
          <w:rFonts w:eastAsiaTheme="minorHAnsi"/>
          <w:lang w:val="en-GB" w:eastAsia="en-US"/>
        </w:rPr>
        <w:t xml:space="preserve">Comparison of passive monitoring and self-reported social behaviour using </w:t>
      </w:r>
      <w:proofErr w:type="gramStart"/>
      <w:r w:rsidRPr="001177AF">
        <w:rPr>
          <w:rFonts w:eastAsiaTheme="minorHAnsi"/>
          <w:lang w:val="en-GB" w:eastAsia="en-US"/>
        </w:rPr>
        <w:t>smartphone based</w:t>
      </w:r>
      <w:proofErr w:type="gramEnd"/>
      <w:r w:rsidRPr="001177AF">
        <w:rPr>
          <w:rFonts w:eastAsiaTheme="minorHAnsi"/>
          <w:lang w:val="en-GB" w:eastAsia="en-US"/>
        </w:rPr>
        <w:t xml:space="preserve"> assessments</w:t>
      </w:r>
      <w:r w:rsidR="00A31FE9" w:rsidRPr="001177AF">
        <w:rPr>
          <w:rFonts w:eastAsiaTheme="minorHAnsi"/>
          <w:lang w:val="en-GB" w:eastAsia="en-US"/>
        </w:rPr>
        <w:t>), And</w:t>
      </w:r>
      <w:r w:rsidR="00A31FE9" w:rsidRPr="001177AF">
        <w:rPr>
          <w:color w:val="222222"/>
          <w:shd w:val="clear" w:color="auto" w:fill="FFFFFF"/>
          <w:lang w:val="en-US"/>
        </w:rPr>
        <w:t xml:space="preserve"> </w:t>
      </w:r>
      <w:r w:rsidR="00F4794A">
        <w:rPr>
          <w:color w:val="222222"/>
          <w:shd w:val="clear" w:color="auto" w:fill="FFFFFF"/>
          <w:lang w:val="en-US"/>
        </w:rPr>
        <w:t xml:space="preserve">the </w:t>
      </w:r>
      <w:r w:rsidRPr="001177AF">
        <w:rPr>
          <w:color w:val="222222"/>
          <w:shd w:val="clear" w:color="auto" w:fill="FFFFFF"/>
        </w:rPr>
        <w:t>ethics committee of the Psychology faculty of the Heinrich Heine University Düsseldorf.</w:t>
      </w:r>
      <w:r w:rsidRPr="001177AF">
        <w:rPr>
          <w:lang w:val="en-US" w:eastAsia="en-US"/>
        </w:rPr>
        <w:t xml:space="preserve"> (DU01-2021-01)</w:t>
      </w:r>
      <w:r w:rsidR="00F4794A">
        <w:rPr>
          <w:lang w:val="en-US" w:eastAsia="en-US"/>
        </w:rPr>
        <w:t>.</w:t>
      </w:r>
    </w:p>
    <w:p w14:paraId="68906D9D" w14:textId="39665828" w:rsidR="007D5D81" w:rsidRPr="001177AF" w:rsidRDefault="008D6916" w:rsidP="007D5D81">
      <w:pPr>
        <w:pStyle w:val="Heading2"/>
        <w:jc w:val="both"/>
        <w:rPr>
          <w:lang w:val="en-GB"/>
        </w:rPr>
      </w:pPr>
      <w:bookmarkStart w:id="30" w:name="_Toc132365731"/>
      <w:r w:rsidRPr="001177AF">
        <w:rPr>
          <w:lang w:val="en-GB"/>
        </w:rPr>
        <w:t>Aims</w:t>
      </w:r>
      <w:r w:rsidR="00F27CC1" w:rsidRPr="001177AF">
        <w:rPr>
          <w:lang w:val="en-GB"/>
        </w:rPr>
        <w:t xml:space="preserve"> and Organization of</w:t>
      </w:r>
      <w:r w:rsidR="00F87087" w:rsidRPr="001177AF">
        <w:rPr>
          <w:lang w:val="en-GB"/>
        </w:rPr>
        <w:t xml:space="preserve"> this</w:t>
      </w:r>
      <w:r w:rsidR="00F27CC1" w:rsidRPr="001177AF">
        <w:rPr>
          <w:lang w:val="en-GB"/>
        </w:rPr>
        <w:t xml:space="preserve"> </w:t>
      </w:r>
      <w:proofErr w:type="gramStart"/>
      <w:r w:rsidR="00A8787D" w:rsidRPr="001177AF">
        <w:rPr>
          <w:lang w:val="en-GB"/>
        </w:rPr>
        <w:t>T</w:t>
      </w:r>
      <w:r w:rsidR="009A0DA0" w:rsidRPr="001177AF">
        <w:rPr>
          <w:lang w:val="en-GB"/>
        </w:rPr>
        <w:t>hesis</w:t>
      </w:r>
      <w:bookmarkEnd w:id="30"/>
      <w:proofErr w:type="gramEnd"/>
    </w:p>
    <w:p w14:paraId="5B509E9E" w14:textId="28E35B79" w:rsidR="00231082" w:rsidRPr="001177AF" w:rsidRDefault="00917F66" w:rsidP="002920C7">
      <w:pPr>
        <w:spacing w:line="360" w:lineRule="auto"/>
        <w:jc w:val="both"/>
        <w:rPr>
          <w:lang w:val="en-GB"/>
        </w:rPr>
      </w:pPr>
      <w:r w:rsidRPr="001177AF">
        <w:rPr>
          <w:lang w:val="en-GB"/>
        </w:rPr>
        <w:t>Due to the shortcomings and difficulties of current in-clinic visits, there is currently an active interest in leveraging DBs obtained from smartphones and wearable technology in the remote assessment of diseases like PD. These biomarkers can be used to classify diseases or assess the severity of their symptoms</w:t>
      </w:r>
      <w:r w:rsidR="00726C10" w:rsidRPr="001177AF">
        <w:rPr>
          <w:lang w:val="en-GB"/>
        </w:rPr>
        <w:t>,</w:t>
      </w:r>
      <w:r w:rsidR="004A3E73" w:rsidRPr="001177AF">
        <w:rPr>
          <w:lang w:val="en-GB"/>
        </w:rPr>
        <w:t xml:space="preserve"> and</w:t>
      </w:r>
      <w:r w:rsidRPr="001177AF">
        <w:rPr>
          <w:lang w:val="en-GB"/>
        </w:rPr>
        <w:t xml:space="preserve"> at-home assessment methods aim to </w:t>
      </w:r>
      <w:r w:rsidR="005D54DC" w:rsidRPr="001177AF">
        <w:rPr>
          <w:lang w:val="en-GB"/>
        </w:rPr>
        <w:t>maximise</w:t>
      </w:r>
      <w:r w:rsidRPr="001177AF">
        <w:rPr>
          <w:lang w:val="en-GB"/>
        </w:rPr>
        <w:t xml:space="preserve"> ecological validity and provide improved insight into disease progress and onset </w:t>
      </w:r>
      <w:r w:rsidRPr="001177AF">
        <w:rPr>
          <w:lang w:val="en-GB"/>
        </w:rPr>
        <w:fldChar w:fldCharType="begin"/>
      </w:r>
      <w:r w:rsidR="00726C10" w:rsidRPr="001177AF">
        <w:rPr>
          <w:lang w:val="en-GB"/>
        </w:rPr>
        <w:instrText>ADDIN F1000_CSL_CITATION&lt;~#@#~&gt;[{"DOI":"10.1002/mds.26642","First":false,"Last":false,"PMCID":"PMC5014594","PMID":"27125836","abstract":"The miniaturization, sophistication, proliferation, and accessibility of technologies are enabling the capture of more and previously inaccessible phenomena in Parkinson's disease (PD). However, more information has not translated into a greater understanding of disease complexity to satisfy diagnostic and therapeutic needs. Challenges include noncompatible technology platforms, the need for wide-scale and long-term deployment of sensor technology (among vulnerable elderly patients in particular), and the gap between the \"big data\" acquired with sensitive measurement technologies and their limited clinical application. Major opportunities could be realized if new technologies are developed as part of open-source and/or open-hardware platforms that enable multichannel data capture sensitive to the broad range of motor and nonmotor problems that characterize PD and are adaptable into self-adjusting, individualized treatment delivery systems. The International Parkinson and Movement Disorders Society Task Force on Technology is entrusted to convene engineers, clinicians, researchers, and patients to promote the development of integrated measurement and closed-loop therapeutic systems with high patient adherence that also serve to (1) encourage the adoption of clinico-pathophysiologic phenotyping and early detection of critical disease milestones, (2) enhance the tailoring of symptomatic therapy, (3) improve subgroup targeting of patients for future testing of disease-modifying treatments, and (4) identify objective biomarkers to improve the longitudinal tracking of impairments in clinical care and research. This article summarizes the work carried out by the task force toward identifying challenges and opportunities in the development of technologies with potential for improving the clinical management and the quality of life of individuals with PD. © 2016 International Parkinson and Movement Disorder Society.&lt;br&gt;&lt;br&gt;© 2016 International Parkinson and Movement Disorder Society.","author":[{"family":"Espay","given":"Alberto J"},{"family":"Bonato","given":"Paolo"},{"family":"Nahab","given":"Fatta B"},{"family":"Maetzler","given":"Walter"},{"family":"Dean","given":"John M"},{"family":"Klucken","given":"Jochen"},{"family":"Eskofier","given":"Bjoern M"},{"family":"Merola","given":"Aristide"},{"family":"Horak","given":"Fay"},{"family":"Lang","given":"Anthony E"},{"family":"Reilmann","given":"Ralf"},{"family":"Giuffrida","given":"Joe"},{"family":"Nieuwboer","given":"Alice"},{"family":"Horne","given":"Malcolm"},{"family":"Little","given":"Max A"},{"family":"Litvan","given":"Irene"},{"family":"Simuni","given":"Tanya"},{"family":"Dorsey","given":"E Ray"},{"family":"Burack","given":"Michelle A"},{"family":"Kubota","given":"Ken"},{"family":"Kamondi","given":"Anita"},{"family":"Godinho","given":"Catarina"},{"family":"Daneault","given":"Jean-Francois"},{"family":"Mitsi","given":"Georgia"},{"family":"Krinke","given":"Lothar"},{"family":"Hausdorff","given":"Jeffery M"},{"family":"Bloem","given":"Bastiaan R"},{"family":"Papapetropoulos","given":"Spyros"},{"family":"Movement Disorders Society Task Force on Technology"}],"authorYearDisplayFormat":false,"citation-label":"2984621","container-title":"Movement Disorders","container-title-short":"Mov. Disord.","id":"2984621","invisible":false,"issue":"9","issued":{"date-parts":[["2016","9"]]},"journalAbbreviation":"Mov. Disord.","page":"1272-1282","suppress-author":false,"title":"Technology in Parkinson's disease: Challenges and opportunities.","type":"article-journal","volume":"31"}]</w:instrText>
      </w:r>
      <w:r w:rsidRPr="001177AF">
        <w:rPr>
          <w:lang w:val="en-GB"/>
        </w:rPr>
        <w:fldChar w:fldCharType="separate"/>
      </w:r>
      <w:r w:rsidR="00726C10" w:rsidRPr="001177AF">
        <w:rPr>
          <w:noProof/>
          <w:lang w:val="en-GB"/>
        </w:rPr>
        <w:t>(67)</w:t>
      </w:r>
      <w:r w:rsidRPr="001177AF">
        <w:rPr>
          <w:lang w:val="en-GB"/>
        </w:rPr>
        <w:fldChar w:fldCharType="end"/>
      </w:r>
      <w:r w:rsidRPr="001177AF">
        <w:rPr>
          <w:lang w:val="en-GB"/>
        </w:rPr>
        <w:t xml:space="preserve">. Thus, </w:t>
      </w:r>
      <w:r w:rsidR="005570E0" w:rsidRPr="001177AF">
        <w:rPr>
          <w:lang w:val="en-GB"/>
        </w:rPr>
        <w:t xml:space="preserve">in </w:t>
      </w:r>
      <w:r w:rsidRPr="001177AF">
        <w:rPr>
          <w:lang w:val="en-GB"/>
        </w:rPr>
        <w:t>this thesis</w:t>
      </w:r>
      <w:r w:rsidR="005570E0" w:rsidRPr="001177AF">
        <w:rPr>
          <w:lang w:val="en-GB"/>
        </w:rPr>
        <w:t>,</w:t>
      </w:r>
      <w:r w:rsidRPr="001177AF">
        <w:rPr>
          <w:lang w:val="en-GB"/>
        </w:rPr>
        <w:t xml:space="preserve"> </w:t>
      </w:r>
      <w:r w:rsidR="005570E0" w:rsidRPr="001177AF">
        <w:rPr>
          <w:lang w:val="en-GB"/>
        </w:rPr>
        <w:t xml:space="preserve">I aim </w:t>
      </w:r>
      <w:r w:rsidRPr="001177AF">
        <w:rPr>
          <w:lang w:val="en-GB"/>
        </w:rPr>
        <w:t xml:space="preserve">to contribute to this field by pursuing the following steps. First, I introduce a </w:t>
      </w:r>
      <w:r w:rsidR="005570E0" w:rsidRPr="001177AF">
        <w:rPr>
          <w:lang w:val="en-GB"/>
        </w:rPr>
        <w:t xml:space="preserve">reusable </w:t>
      </w:r>
      <w:r w:rsidRPr="001177AF">
        <w:rPr>
          <w:lang w:val="en-GB"/>
        </w:rPr>
        <w:t xml:space="preserve">and </w:t>
      </w:r>
      <w:r w:rsidR="00D80E8D" w:rsidRPr="001177AF">
        <w:rPr>
          <w:lang w:val="en-GB"/>
        </w:rPr>
        <w:t>open-source</w:t>
      </w:r>
      <w:r w:rsidR="005570E0" w:rsidRPr="001177AF">
        <w:rPr>
          <w:lang w:val="en-GB"/>
        </w:rPr>
        <w:t xml:space="preserve"> platform</w:t>
      </w:r>
      <w:r w:rsidRPr="001177AF">
        <w:rPr>
          <w:lang w:val="en-GB"/>
        </w:rPr>
        <w:t xml:space="preserve"> </w:t>
      </w:r>
      <w:r w:rsidR="005570E0" w:rsidRPr="001177AF">
        <w:rPr>
          <w:lang w:val="en-GB"/>
        </w:rPr>
        <w:t xml:space="preserve">to </w:t>
      </w:r>
      <w:r w:rsidRPr="001177AF">
        <w:rPr>
          <w:lang w:val="en-GB"/>
        </w:rPr>
        <w:t xml:space="preserve">collect research-grade context-driven data while </w:t>
      </w:r>
      <w:r w:rsidR="005D54DC" w:rsidRPr="001177AF">
        <w:rPr>
          <w:lang w:val="en-GB"/>
        </w:rPr>
        <w:t>prioritising</w:t>
      </w:r>
      <w:r w:rsidRPr="001177AF">
        <w:rPr>
          <w:lang w:val="en-GB"/>
        </w:rPr>
        <w:t xml:space="preserve"> privacy and security concerns. Second, in a collaboration project, we assessed the agreement of data collected from this platform with advanced </w:t>
      </w:r>
      <w:r w:rsidR="005570E0" w:rsidRPr="001177AF">
        <w:rPr>
          <w:lang w:val="en-GB"/>
        </w:rPr>
        <w:t xml:space="preserve">stationary </w:t>
      </w:r>
      <w:r w:rsidRPr="001177AF">
        <w:rPr>
          <w:lang w:val="en-GB"/>
        </w:rPr>
        <w:t>platforms (force plate and motion capture systems)</w:t>
      </w:r>
      <w:r w:rsidR="00726C10" w:rsidRPr="001177AF">
        <w:rPr>
          <w:lang w:val="en-GB"/>
        </w:rPr>
        <w:t>,</w:t>
      </w:r>
      <w:r w:rsidRPr="001177AF">
        <w:rPr>
          <w:lang w:val="en-GB"/>
        </w:rPr>
        <w:t xml:space="preserve"> which are accepted as the gold standard for motion analysis. Third, I evaluated the longitudinal sensitivity and test-retest reliability of commonly reported features extracted from the m-Power dataset—the remote study of PD in a self-administrated at-home protocol and then assessed if the longitudinal behaviour of these potential DBs differed between disease groups and if this fluctuation was related to disease or other confounding factors that may </w:t>
      </w:r>
      <w:r w:rsidRPr="001177AF">
        <w:rPr>
          <w:lang w:val="en-GB"/>
        </w:rPr>
        <w:lastRenderedPageBreak/>
        <w:t>have had a contribution. Finally, we investigated these potential DBs to evaluate the sensitivity and specificity of different machine learning algorithms on the differentiation of PD from HC and what and how confounding factors affect this performance.</w:t>
      </w:r>
    </w:p>
    <w:p w14:paraId="64B80D2C" w14:textId="690A4473" w:rsidR="0004116D" w:rsidRPr="001177AF" w:rsidRDefault="0004116D" w:rsidP="00E51818">
      <w:pPr>
        <w:spacing w:line="360" w:lineRule="auto"/>
        <w:jc w:val="both"/>
        <w:rPr>
          <w:lang w:val="en-GB"/>
        </w:rPr>
      </w:pPr>
      <w:r w:rsidRPr="001177AF">
        <w:rPr>
          <w:lang w:val="en-GB"/>
        </w:rPr>
        <w:t>The following articles were published as part of my doctoral work and represent the main structure of this dissertation.</w:t>
      </w:r>
    </w:p>
    <w:p w14:paraId="5B8DF285" w14:textId="77777777" w:rsidR="0004116D" w:rsidRPr="001177AF" w:rsidRDefault="0004116D" w:rsidP="002920C7">
      <w:pPr>
        <w:spacing w:line="360" w:lineRule="auto"/>
        <w:jc w:val="both"/>
        <w:rPr>
          <w:lang w:val="en-GB"/>
        </w:rPr>
      </w:pPr>
    </w:p>
    <w:p w14:paraId="18F76E55" w14:textId="611BBC6E" w:rsidR="001A60AB" w:rsidRPr="001177AF" w:rsidRDefault="007C4B92" w:rsidP="001A60AB">
      <w:pPr>
        <w:spacing w:line="360" w:lineRule="auto"/>
        <w:jc w:val="both"/>
        <w:rPr>
          <w:color w:val="191919"/>
          <w:shd w:val="clear" w:color="auto" w:fill="FFFFFF"/>
          <w:lang w:val="en-GB"/>
        </w:rPr>
      </w:pPr>
      <w:r w:rsidRPr="001177AF">
        <w:rPr>
          <w:b/>
          <w:bCs/>
          <w:color w:val="191919"/>
          <w:shd w:val="clear" w:color="auto" w:fill="FFFFFF"/>
          <w:lang w:val="en-GB"/>
        </w:rPr>
        <w:t>Study 1:</w:t>
      </w:r>
      <w:r w:rsidRPr="001177AF">
        <w:rPr>
          <w:color w:val="191919"/>
          <w:shd w:val="clear" w:color="auto" w:fill="FFFFFF"/>
          <w:lang w:val="en-GB"/>
        </w:rPr>
        <w:t xml:space="preserve"> </w:t>
      </w:r>
      <w:r w:rsidR="00874BBF" w:rsidRPr="001177AF">
        <w:rPr>
          <w:color w:val="191919"/>
          <w:shd w:val="clear" w:color="auto" w:fill="FFFFFF"/>
          <w:lang w:val="en-GB"/>
        </w:rPr>
        <w:t xml:space="preserve">In the first study, I addressed and aimed to fill the gap in the trade-off between privacy, </w:t>
      </w:r>
      <w:r w:rsidR="005D54DC" w:rsidRPr="001177AF">
        <w:rPr>
          <w:color w:val="191919"/>
          <w:shd w:val="clear" w:color="auto" w:fill="FFFFFF"/>
          <w:lang w:val="en-GB"/>
        </w:rPr>
        <w:t>optimisation</w:t>
      </w:r>
      <w:r w:rsidR="00874BBF" w:rsidRPr="001177AF">
        <w:rPr>
          <w:color w:val="191919"/>
          <w:shd w:val="clear" w:color="auto" w:fill="FFFFFF"/>
          <w:lang w:val="en-GB"/>
        </w:rPr>
        <w:t xml:space="preserve">, stability, and research-grade data quality that were not well met in previously introduced platforms where </w:t>
      </w:r>
      <w:r w:rsidR="004E0CB0" w:rsidRPr="001177AF">
        <w:rPr>
          <w:color w:val="191919"/>
          <w:shd w:val="clear" w:color="auto" w:fill="FFFFFF"/>
          <w:lang w:val="en-GB"/>
        </w:rPr>
        <w:t>we're</w:t>
      </w:r>
      <w:r w:rsidR="00874BBF" w:rsidRPr="001177AF">
        <w:rPr>
          <w:color w:val="191919"/>
          <w:shd w:val="clear" w:color="auto" w:fill="FFFFFF"/>
          <w:lang w:val="en-GB"/>
        </w:rPr>
        <w:t xml:space="preserve"> able to collect context-driven data. In this study, the </w:t>
      </w:r>
      <w:r w:rsidR="004E0CB0" w:rsidRPr="001177AF">
        <w:rPr>
          <w:color w:val="191919"/>
          <w:shd w:val="clear" w:color="auto" w:fill="FFFFFF"/>
          <w:lang w:val="en-GB"/>
        </w:rPr>
        <w:t>"</w:t>
      </w:r>
      <w:r w:rsidR="00874BBF" w:rsidRPr="001177AF">
        <w:rPr>
          <w:color w:val="191919"/>
          <w:shd w:val="clear" w:color="auto" w:fill="FFFFFF"/>
          <w:lang w:val="en-GB"/>
        </w:rPr>
        <w:t>JTrack</w:t>
      </w:r>
      <w:r w:rsidR="004E0CB0" w:rsidRPr="001177AF">
        <w:rPr>
          <w:color w:val="191919"/>
          <w:shd w:val="clear" w:color="auto" w:fill="FFFFFF"/>
          <w:lang w:val="en-GB"/>
        </w:rPr>
        <w:t>"</w:t>
      </w:r>
      <w:r w:rsidR="00874BBF" w:rsidRPr="001177AF">
        <w:rPr>
          <w:color w:val="191919"/>
          <w:shd w:val="clear" w:color="auto" w:fill="FFFFFF"/>
          <w:lang w:val="en-GB"/>
        </w:rPr>
        <w:t xml:space="preserve"> platform was introduced as a single solution for digital phenotyping. </w:t>
      </w:r>
      <w:r w:rsidR="004E0CB0" w:rsidRPr="001177AF">
        <w:rPr>
          <w:color w:val="191919"/>
          <w:shd w:val="clear" w:color="auto" w:fill="FFFFFF"/>
          <w:lang w:val="en-GB"/>
        </w:rPr>
        <w:t>"</w:t>
      </w:r>
      <w:r w:rsidR="00874BBF" w:rsidRPr="001177AF">
        <w:rPr>
          <w:color w:val="191919"/>
          <w:shd w:val="clear" w:color="auto" w:fill="FFFFFF"/>
          <w:lang w:val="en-GB"/>
        </w:rPr>
        <w:t>JTrack</w:t>
      </w:r>
      <w:r w:rsidR="004E0CB0" w:rsidRPr="001177AF">
        <w:rPr>
          <w:color w:val="191919"/>
          <w:shd w:val="clear" w:color="auto" w:fill="FFFFFF"/>
          <w:lang w:val="en-GB"/>
        </w:rPr>
        <w:t>"</w:t>
      </w:r>
      <w:r w:rsidR="00874BBF" w:rsidRPr="001177AF">
        <w:rPr>
          <w:color w:val="191919"/>
          <w:shd w:val="clear" w:color="auto" w:fill="FFFFFF"/>
          <w:lang w:val="en-GB"/>
        </w:rPr>
        <w:t xml:space="preserve"> </w:t>
      </w:r>
      <w:r w:rsidR="00A7775E" w:rsidRPr="001177AF">
        <w:rPr>
          <w:color w:val="191919"/>
          <w:shd w:val="clear" w:color="auto" w:fill="FFFFFF"/>
          <w:lang w:val="en-GB"/>
        </w:rPr>
        <w:t>comprises</w:t>
      </w:r>
      <w:r w:rsidR="00874BBF" w:rsidRPr="001177AF">
        <w:rPr>
          <w:color w:val="191919"/>
          <w:shd w:val="clear" w:color="auto" w:fill="FFFFFF"/>
          <w:lang w:val="en-GB"/>
        </w:rPr>
        <w:t xml:space="preserve"> a smartphone application and an online dashboard enabling remote data collection and study management. It gives a flexible and modular environment for collecting sensor and smartphone usage data, with privacy and</w:t>
      </w:r>
      <w:r w:rsidR="005C6B30" w:rsidRPr="001177AF">
        <w:rPr>
          <w:color w:val="191919"/>
          <w:shd w:val="clear" w:color="auto" w:fill="FFFFFF"/>
          <w:lang w:val="en-GB"/>
        </w:rPr>
        <w:t xml:space="preserve"> General Data Protection Regulation</w:t>
      </w:r>
      <w:r w:rsidR="00874BBF" w:rsidRPr="001177AF">
        <w:rPr>
          <w:color w:val="191919"/>
          <w:shd w:val="clear" w:color="auto" w:fill="FFFFFF"/>
          <w:lang w:val="en-GB"/>
        </w:rPr>
        <w:t xml:space="preserve"> </w:t>
      </w:r>
      <w:r w:rsidR="005C6B30" w:rsidRPr="001177AF">
        <w:rPr>
          <w:color w:val="191919"/>
          <w:shd w:val="clear" w:color="auto" w:fill="FFFFFF"/>
          <w:lang w:val="en-GB"/>
        </w:rPr>
        <w:t>(</w:t>
      </w:r>
      <w:r w:rsidR="00874BBF" w:rsidRPr="001177AF">
        <w:rPr>
          <w:color w:val="191919"/>
          <w:shd w:val="clear" w:color="auto" w:fill="FFFFFF"/>
          <w:lang w:val="en-GB"/>
        </w:rPr>
        <w:t>GDPR</w:t>
      </w:r>
      <w:r w:rsidR="005C6B30" w:rsidRPr="001177AF">
        <w:rPr>
          <w:color w:val="191919"/>
          <w:shd w:val="clear" w:color="auto" w:fill="FFFFFF"/>
          <w:lang w:val="en-GB"/>
        </w:rPr>
        <w:t>)</w:t>
      </w:r>
      <w:r w:rsidR="00874BBF" w:rsidRPr="001177AF">
        <w:rPr>
          <w:color w:val="191919"/>
          <w:shd w:val="clear" w:color="auto" w:fill="FFFFFF"/>
          <w:lang w:val="en-GB"/>
        </w:rPr>
        <w:t xml:space="preserve"> compliance as top priorities. </w:t>
      </w:r>
    </w:p>
    <w:p w14:paraId="0018A181" w14:textId="77777777" w:rsidR="009A0DA0" w:rsidRPr="001177AF" w:rsidRDefault="009A0DA0" w:rsidP="001A60AB">
      <w:pPr>
        <w:spacing w:line="360" w:lineRule="auto"/>
        <w:jc w:val="both"/>
        <w:rPr>
          <w:lang w:val="en-GB"/>
        </w:rPr>
      </w:pPr>
    </w:p>
    <w:p w14:paraId="601BD39F" w14:textId="6FB0B03E" w:rsidR="00A458CB" w:rsidRPr="001177AF" w:rsidRDefault="001A60AB" w:rsidP="004861D2">
      <w:pPr>
        <w:spacing w:after="240" w:line="360" w:lineRule="auto"/>
        <w:jc w:val="both"/>
        <w:rPr>
          <w:lang w:val="en-GB"/>
        </w:rPr>
      </w:pPr>
      <w:r w:rsidRPr="001177AF">
        <w:rPr>
          <w:b/>
          <w:bCs/>
          <w:lang w:val="en-GB"/>
        </w:rPr>
        <w:t xml:space="preserve">Study 2: </w:t>
      </w:r>
      <w:r w:rsidRPr="001177AF">
        <w:rPr>
          <w:lang w:val="en-GB"/>
        </w:rPr>
        <w:t>In this study, we assessed the feasibility of using smartphones for gait and balance analysis. In this context, we examined the agreement between gait and balance features derived using smartphones and two widely used stationary gait analysis systems (</w:t>
      </w:r>
      <w:r w:rsidR="00625A68" w:rsidRPr="001177AF">
        <w:rPr>
          <w:lang w:val="en-GB"/>
        </w:rPr>
        <w:t>e.g.,</w:t>
      </w:r>
      <w:r w:rsidRPr="001177AF">
        <w:rPr>
          <w:lang w:val="en-GB"/>
        </w:rPr>
        <w:t xml:space="preserve"> force plate and motion capture systems) that are considered the gold standard in this field. </w:t>
      </w:r>
      <w:proofErr w:type="gramStart"/>
      <w:r w:rsidR="00CC1B5B" w:rsidRPr="001177AF">
        <w:rPr>
          <w:lang w:val="en-GB"/>
        </w:rPr>
        <w:t>In particular</w:t>
      </w:r>
      <w:r w:rsidRPr="001177AF">
        <w:rPr>
          <w:lang w:val="en-GB"/>
        </w:rPr>
        <w:t>, we</w:t>
      </w:r>
      <w:proofErr w:type="gramEnd"/>
      <w:r w:rsidRPr="001177AF">
        <w:rPr>
          <w:lang w:val="en-GB"/>
        </w:rPr>
        <w:t xml:space="preserve"> intend to assess the viability of adopting smartphone-based gait and balance studies in lieu of advanced techniques designed for laboratory use.</w:t>
      </w:r>
    </w:p>
    <w:p w14:paraId="682F8934" w14:textId="64A89096" w:rsidR="00E44553" w:rsidRPr="001177AF" w:rsidRDefault="00E44553" w:rsidP="002920C7">
      <w:pPr>
        <w:spacing w:line="360" w:lineRule="auto"/>
        <w:jc w:val="both"/>
        <w:rPr>
          <w:lang w:val="en-GB"/>
        </w:rPr>
      </w:pPr>
      <w:r w:rsidRPr="001177AF">
        <w:rPr>
          <w:b/>
          <w:bCs/>
          <w:lang w:val="en-GB"/>
        </w:rPr>
        <w:t xml:space="preserve">Study </w:t>
      </w:r>
      <w:r w:rsidR="001A60AB" w:rsidRPr="001177AF">
        <w:rPr>
          <w:b/>
          <w:bCs/>
          <w:lang w:val="en-GB"/>
        </w:rPr>
        <w:t>3</w:t>
      </w:r>
      <w:r w:rsidRPr="001177AF">
        <w:rPr>
          <w:b/>
          <w:bCs/>
          <w:lang w:val="en-GB"/>
        </w:rPr>
        <w:t>:</w:t>
      </w:r>
      <w:r w:rsidR="00F27CC1" w:rsidRPr="001177AF">
        <w:rPr>
          <w:lang w:val="en-GB"/>
        </w:rPr>
        <w:t xml:space="preserve"> </w:t>
      </w:r>
      <w:r w:rsidR="00CC1B5B" w:rsidRPr="001177AF">
        <w:rPr>
          <w:lang w:val="en-GB"/>
        </w:rPr>
        <w:t xml:space="preserve">The </w:t>
      </w:r>
      <w:r w:rsidR="00144466" w:rsidRPr="001177AF">
        <w:rPr>
          <w:lang w:val="en-GB"/>
        </w:rPr>
        <w:t xml:space="preserve">third </w:t>
      </w:r>
      <w:r w:rsidR="00F27CC1" w:rsidRPr="001177AF">
        <w:rPr>
          <w:lang w:val="en-GB"/>
        </w:rPr>
        <w:t xml:space="preserve">study was devoted to </w:t>
      </w:r>
      <w:r w:rsidR="003E4026" w:rsidRPr="001177AF">
        <w:rPr>
          <w:lang w:val="en-GB"/>
        </w:rPr>
        <w:t>investigating</w:t>
      </w:r>
      <w:r w:rsidR="00F27CC1" w:rsidRPr="001177AF">
        <w:rPr>
          <w:lang w:val="en-GB"/>
        </w:rPr>
        <w:t xml:space="preserve"> the longitudinal stability and test-retest reliability of various </w:t>
      </w:r>
      <w:r w:rsidR="00907183" w:rsidRPr="001177AF">
        <w:rPr>
          <w:lang w:val="en-GB"/>
        </w:rPr>
        <w:t>features</w:t>
      </w:r>
      <w:r w:rsidR="009F4399" w:rsidRPr="001177AF">
        <w:rPr>
          <w:lang w:val="en-GB"/>
        </w:rPr>
        <w:t xml:space="preserve"> </w:t>
      </w:r>
      <w:r w:rsidR="00F27CC1" w:rsidRPr="001177AF">
        <w:rPr>
          <w:lang w:val="en-GB"/>
        </w:rPr>
        <w:t>extracted</w:t>
      </w:r>
      <w:r w:rsidR="009F4399" w:rsidRPr="001177AF">
        <w:rPr>
          <w:lang w:val="en-GB"/>
        </w:rPr>
        <w:t xml:space="preserve"> in </w:t>
      </w:r>
      <w:r w:rsidR="00D80E8D" w:rsidRPr="001177AF">
        <w:rPr>
          <w:lang w:val="en-GB"/>
        </w:rPr>
        <w:t>Study</w:t>
      </w:r>
      <w:r w:rsidR="009F4399" w:rsidRPr="001177AF">
        <w:rPr>
          <w:lang w:val="en-GB"/>
        </w:rPr>
        <w:t xml:space="preserve"> 4</w:t>
      </w:r>
      <w:r w:rsidR="00AF6386" w:rsidRPr="001177AF">
        <w:rPr>
          <w:lang w:val="en-GB"/>
        </w:rPr>
        <w:t>.</w:t>
      </w:r>
      <w:r w:rsidR="00895C38" w:rsidRPr="001177AF">
        <w:rPr>
          <w:lang w:val="en-GB"/>
        </w:rPr>
        <w:t xml:space="preserve"> Despite </w:t>
      </w:r>
      <w:r w:rsidR="00017F15" w:rsidRPr="001177AF">
        <w:rPr>
          <w:lang w:val="en-GB"/>
        </w:rPr>
        <w:t>its</w:t>
      </w:r>
      <w:r w:rsidR="00895C38" w:rsidRPr="001177AF">
        <w:rPr>
          <w:lang w:val="en-GB"/>
        </w:rPr>
        <w:t xml:space="preserve"> importance</w:t>
      </w:r>
      <w:r w:rsidR="00AF401F" w:rsidRPr="001177AF">
        <w:rPr>
          <w:lang w:val="en-GB"/>
        </w:rPr>
        <w:t>,</w:t>
      </w:r>
      <w:r w:rsidR="00895C38" w:rsidRPr="001177AF">
        <w:rPr>
          <w:lang w:val="en-GB"/>
        </w:rPr>
        <w:t xml:space="preserve"> little attention has been paid to evaluating the </w:t>
      </w:r>
      <w:r w:rsidR="00907183" w:rsidRPr="001177AF">
        <w:rPr>
          <w:lang w:val="en-GB"/>
        </w:rPr>
        <w:t xml:space="preserve">test-retest </w:t>
      </w:r>
      <w:r w:rsidR="00895C38" w:rsidRPr="001177AF">
        <w:rPr>
          <w:lang w:val="en-GB"/>
        </w:rPr>
        <w:t>reliability and longitudinal stability of DB</w:t>
      </w:r>
      <w:r w:rsidR="00874BBF" w:rsidRPr="001177AF">
        <w:rPr>
          <w:lang w:val="en-GB"/>
        </w:rPr>
        <w:t>s</w:t>
      </w:r>
      <w:r w:rsidR="00895C38" w:rsidRPr="001177AF">
        <w:rPr>
          <w:lang w:val="en-GB"/>
        </w:rPr>
        <w:t xml:space="preserve"> in</w:t>
      </w:r>
      <w:r w:rsidR="00017F15" w:rsidRPr="001177AF">
        <w:rPr>
          <w:lang w:val="en-GB"/>
        </w:rPr>
        <w:t xml:space="preserve"> </w:t>
      </w:r>
      <w:r w:rsidR="007D5D81" w:rsidRPr="001177AF">
        <w:rPr>
          <w:lang w:val="en-GB"/>
        </w:rPr>
        <w:t>a loosely controlled self-administered setting</w:t>
      </w:r>
      <w:r w:rsidR="00895C38" w:rsidRPr="001177AF">
        <w:rPr>
          <w:lang w:val="en-GB"/>
        </w:rPr>
        <w:t>.</w:t>
      </w:r>
      <w:r w:rsidR="00765F99" w:rsidRPr="001177AF">
        <w:rPr>
          <w:lang w:val="en-GB"/>
        </w:rPr>
        <w:t xml:space="preserve"> </w:t>
      </w:r>
      <w:r w:rsidR="001A43BE" w:rsidRPr="001177AF">
        <w:rPr>
          <w:lang w:val="en-GB"/>
        </w:rPr>
        <w:t>Therefore, i</w:t>
      </w:r>
      <w:r w:rsidR="00765F99" w:rsidRPr="001177AF">
        <w:rPr>
          <w:lang w:val="en-GB"/>
        </w:rPr>
        <w:t>n this study</w:t>
      </w:r>
      <w:r w:rsidR="00575C6E" w:rsidRPr="001177AF">
        <w:rPr>
          <w:lang w:val="en-GB"/>
        </w:rPr>
        <w:t>,</w:t>
      </w:r>
      <w:r w:rsidR="00765F99" w:rsidRPr="001177AF">
        <w:rPr>
          <w:lang w:val="en-GB"/>
        </w:rPr>
        <w:t xml:space="preserve"> </w:t>
      </w:r>
      <w:r w:rsidR="00874BBF" w:rsidRPr="001177AF">
        <w:rPr>
          <w:lang w:val="en-GB"/>
        </w:rPr>
        <w:t xml:space="preserve">I </w:t>
      </w:r>
      <w:r w:rsidR="00765F99" w:rsidRPr="001177AF">
        <w:rPr>
          <w:lang w:val="en-GB"/>
        </w:rPr>
        <w:t>invested different</w:t>
      </w:r>
      <w:r w:rsidR="00FD0C75" w:rsidRPr="001177AF">
        <w:rPr>
          <w:lang w:val="en-GB"/>
        </w:rPr>
        <w:t xml:space="preserve"> </w:t>
      </w:r>
      <w:r w:rsidR="007D5D81" w:rsidRPr="001177AF">
        <w:rPr>
          <w:lang w:val="en-GB"/>
        </w:rPr>
        <w:t>sources</w:t>
      </w:r>
      <w:r w:rsidR="00FD0C75" w:rsidRPr="001177AF">
        <w:rPr>
          <w:lang w:val="en-GB"/>
        </w:rPr>
        <w:t xml:space="preserve"> of variation in the </w:t>
      </w:r>
      <w:r w:rsidR="002F552D" w:rsidRPr="001177AF">
        <w:rPr>
          <w:lang w:val="en-GB"/>
        </w:rPr>
        <w:t xml:space="preserve">long-term </w:t>
      </w:r>
      <w:r w:rsidR="00FD0C75" w:rsidRPr="001177AF">
        <w:rPr>
          <w:lang w:val="en-GB"/>
        </w:rPr>
        <w:t>performance of DBs</w:t>
      </w:r>
      <w:r w:rsidR="00765F99" w:rsidRPr="001177AF">
        <w:rPr>
          <w:lang w:val="en-GB"/>
        </w:rPr>
        <w:t xml:space="preserve"> </w:t>
      </w:r>
      <w:r w:rsidR="00017F15" w:rsidRPr="001177AF">
        <w:rPr>
          <w:lang w:val="en-GB"/>
        </w:rPr>
        <w:t>s</w:t>
      </w:r>
      <w:r w:rsidR="00765F99" w:rsidRPr="001177AF">
        <w:rPr>
          <w:lang w:val="en-GB"/>
        </w:rPr>
        <w:t xml:space="preserve">uch as </w:t>
      </w:r>
      <w:r w:rsidR="00AF401F" w:rsidRPr="001177AF">
        <w:rPr>
          <w:lang w:val="en-GB"/>
        </w:rPr>
        <w:t xml:space="preserve">the </w:t>
      </w:r>
      <w:r w:rsidR="00765F99" w:rsidRPr="001177AF">
        <w:rPr>
          <w:lang w:val="en-GB"/>
        </w:rPr>
        <w:t>repetition</w:t>
      </w:r>
      <w:r w:rsidR="00A7775E" w:rsidRPr="001177AF">
        <w:rPr>
          <w:lang w:val="en-GB"/>
        </w:rPr>
        <w:t>, learning, and medication effects</w:t>
      </w:r>
      <w:r w:rsidR="00907183" w:rsidRPr="001177AF">
        <w:rPr>
          <w:lang w:val="en-GB"/>
        </w:rPr>
        <w:t>.</w:t>
      </w:r>
    </w:p>
    <w:p w14:paraId="18794846" w14:textId="77777777" w:rsidR="009A0DA0" w:rsidRPr="001177AF" w:rsidRDefault="009A0DA0" w:rsidP="002920C7">
      <w:pPr>
        <w:spacing w:line="360" w:lineRule="auto"/>
        <w:jc w:val="both"/>
        <w:rPr>
          <w:lang w:val="en-GB"/>
        </w:rPr>
      </w:pPr>
    </w:p>
    <w:p w14:paraId="10A40FA8" w14:textId="0CA8C5CC" w:rsidR="009247E2" w:rsidRPr="001177AF" w:rsidRDefault="00E44553" w:rsidP="00D56DA5">
      <w:pPr>
        <w:spacing w:line="360" w:lineRule="auto"/>
        <w:jc w:val="both"/>
        <w:rPr>
          <w:lang w:val="en-GB"/>
        </w:rPr>
      </w:pPr>
      <w:r w:rsidRPr="001177AF">
        <w:rPr>
          <w:b/>
          <w:bCs/>
          <w:lang w:val="en-GB"/>
        </w:rPr>
        <w:t xml:space="preserve">Study </w:t>
      </w:r>
      <w:r w:rsidR="001A60AB" w:rsidRPr="001177AF">
        <w:rPr>
          <w:b/>
          <w:bCs/>
          <w:lang w:val="en-GB"/>
        </w:rPr>
        <w:t>4</w:t>
      </w:r>
      <w:r w:rsidRPr="001177AF">
        <w:rPr>
          <w:b/>
          <w:bCs/>
          <w:lang w:val="en-GB"/>
        </w:rPr>
        <w:t>:</w:t>
      </w:r>
      <w:r w:rsidR="002F552D" w:rsidRPr="001177AF">
        <w:rPr>
          <w:lang w:val="en-GB"/>
        </w:rPr>
        <w:t xml:space="preserve"> </w:t>
      </w:r>
      <w:r w:rsidR="00D56DA5" w:rsidRPr="001177AF">
        <w:rPr>
          <w:lang w:val="en-GB"/>
        </w:rPr>
        <w:t xml:space="preserve"> In this study, we investigated various features derived from common tasks (</w:t>
      </w:r>
      <w:r w:rsidR="00625A68" w:rsidRPr="001177AF">
        <w:rPr>
          <w:lang w:val="en-GB"/>
        </w:rPr>
        <w:t>i.e.,</w:t>
      </w:r>
      <w:r w:rsidR="00D56DA5" w:rsidRPr="001177AF">
        <w:rPr>
          <w:lang w:val="en-GB"/>
        </w:rPr>
        <w:t xml:space="preserve"> gait, balance, voice, tapping)</w:t>
      </w:r>
      <w:r w:rsidR="00907183" w:rsidRPr="001177AF">
        <w:rPr>
          <w:lang w:val="en-GB"/>
        </w:rPr>
        <w:t xml:space="preserve"> of </w:t>
      </w:r>
      <w:r w:rsidR="005C0984" w:rsidRPr="001177AF">
        <w:rPr>
          <w:lang w:val="en-GB"/>
        </w:rPr>
        <w:t xml:space="preserve">the </w:t>
      </w:r>
      <w:r w:rsidR="00907183" w:rsidRPr="001177AF">
        <w:rPr>
          <w:lang w:val="en-GB"/>
        </w:rPr>
        <w:t>m-Power database</w:t>
      </w:r>
      <w:r w:rsidR="00D56DA5" w:rsidRPr="001177AF">
        <w:rPr>
          <w:lang w:val="en-GB"/>
        </w:rPr>
        <w:t xml:space="preserve"> performed in a self-administered setting for a remote assessment of PD. In this context, we have evaluated the specificity and sensitivity of various machine learning </w:t>
      </w:r>
      <w:r w:rsidR="00874BBF" w:rsidRPr="001177AF">
        <w:rPr>
          <w:lang w:val="en-GB"/>
        </w:rPr>
        <w:t xml:space="preserve">algorithms </w:t>
      </w:r>
      <w:r w:rsidR="00D56DA5" w:rsidRPr="001177AF">
        <w:rPr>
          <w:lang w:val="en-GB"/>
        </w:rPr>
        <w:t xml:space="preserve">in </w:t>
      </w:r>
      <w:r w:rsidR="00A7775E" w:rsidRPr="001177AF">
        <w:rPr>
          <w:lang w:val="en-GB"/>
        </w:rPr>
        <w:t>differentiating</w:t>
      </w:r>
      <w:r w:rsidR="00D56DA5" w:rsidRPr="001177AF">
        <w:rPr>
          <w:lang w:val="en-GB"/>
        </w:rPr>
        <w:t xml:space="preserve"> PD and HC. We subsequently explored the influence of different confounding variables such as age, sex, </w:t>
      </w:r>
      <w:r w:rsidR="00D56DA5" w:rsidRPr="001177AF">
        <w:rPr>
          <w:lang w:val="en-GB"/>
        </w:rPr>
        <w:lastRenderedPageBreak/>
        <w:t xml:space="preserve">and comorbidities on the </w:t>
      </w:r>
      <w:r w:rsidR="00A7775E" w:rsidRPr="001177AF">
        <w:rPr>
          <w:lang w:val="en-GB"/>
        </w:rPr>
        <w:t>classification performance</w:t>
      </w:r>
      <w:r w:rsidR="00D56DA5" w:rsidRPr="001177AF">
        <w:rPr>
          <w:lang w:val="en-GB"/>
        </w:rPr>
        <w:t xml:space="preserve"> for each task and the combination of all tasks.</w:t>
      </w:r>
      <w:r w:rsidR="00D56DA5" w:rsidRPr="001177AF" w:rsidDel="00D56DA5">
        <w:rPr>
          <w:lang w:val="en-GB"/>
        </w:rPr>
        <w:t xml:space="preserve"> </w:t>
      </w:r>
    </w:p>
    <w:p w14:paraId="5D31AD0C" w14:textId="77777777" w:rsidR="009A0DA0" w:rsidRPr="001177AF" w:rsidRDefault="009A0DA0">
      <w:pPr>
        <w:rPr>
          <w:b/>
          <w:bCs/>
          <w:sz w:val="36"/>
          <w:szCs w:val="36"/>
          <w:lang w:val="en-GB"/>
        </w:rPr>
      </w:pPr>
      <w:r w:rsidRPr="001177AF">
        <w:rPr>
          <w:lang w:val="en-GB"/>
        </w:rPr>
        <w:br w:type="page"/>
      </w:r>
    </w:p>
    <w:p w14:paraId="61A7FC99" w14:textId="1024F5B9" w:rsidR="00D37F78" w:rsidRPr="001177AF" w:rsidRDefault="009247E2" w:rsidP="00F723BB">
      <w:pPr>
        <w:pStyle w:val="Heading2"/>
        <w:jc w:val="both"/>
        <w:rPr>
          <w:lang w:val="en-GB"/>
        </w:rPr>
      </w:pPr>
      <w:bookmarkStart w:id="31" w:name="_Toc132365732"/>
      <w:r w:rsidRPr="001177AF">
        <w:rPr>
          <w:lang w:val="en-GB"/>
        </w:rPr>
        <w:lastRenderedPageBreak/>
        <w:t>Paper1</w:t>
      </w:r>
      <w:r w:rsidR="00C84BB9" w:rsidRPr="001177AF">
        <w:rPr>
          <w:lang w:val="en-GB"/>
        </w:rPr>
        <w:t xml:space="preserve">: JTrack: A Digital Biomarker Platform for Remote Monitoring of Daily-Life </w:t>
      </w:r>
      <w:proofErr w:type="spellStart"/>
      <w:r w:rsidR="007D5D81" w:rsidRPr="001177AF">
        <w:rPr>
          <w:lang w:val="en-GB"/>
        </w:rPr>
        <w:t>Behavior</w:t>
      </w:r>
      <w:proofErr w:type="spellEnd"/>
      <w:r w:rsidR="00C84BB9" w:rsidRPr="001177AF">
        <w:rPr>
          <w:lang w:val="en-GB"/>
        </w:rPr>
        <w:t xml:space="preserve"> in Health and Disease</w:t>
      </w:r>
      <w:bookmarkEnd w:id="31"/>
    </w:p>
    <w:p w14:paraId="1B961E0D" w14:textId="3B24FB18" w:rsidR="00A01BDF" w:rsidRPr="001177AF" w:rsidRDefault="00542C22" w:rsidP="009A0DA0">
      <w:pPr>
        <w:jc w:val="center"/>
        <w:rPr>
          <w:position w:val="10"/>
          <w:lang w:val="de-DE"/>
        </w:rPr>
      </w:pPr>
      <w:r w:rsidRPr="001177AF">
        <w:rPr>
          <w:lang w:val="de-DE"/>
        </w:rPr>
        <w:t>Mehran Sahandi Far</w:t>
      </w:r>
      <w:r w:rsidRPr="001177AF">
        <w:rPr>
          <w:position w:val="10"/>
          <w:lang w:val="de-DE"/>
        </w:rPr>
        <w:t>1,2</w:t>
      </w:r>
      <w:r w:rsidRPr="001177AF">
        <w:rPr>
          <w:lang w:val="de-DE"/>
        </w:rPr>
        <w:t xml:space="preserve">, </w:t>
      </w:r>
      <w:r w:rsidR="003F361D" w:rsidRPr="001177AF">
        <w:rPr>
          <w:lang w:val="de-DE"/>
        </w:rPr>
        <w:t>Michael Stolz</w:t>
      </w:r>
      <w:r w:rsidR="003F361D" w:rsidRPr="001177AF">
        <w:rPr>
          <w:position w:val="10"/>
          <w:lang w:val="de-DE"/>
        </w:rPr>
        <w:t>1</w:t>
      </w:r>
      <w:r w:rsidR="003F361D" w:rsidRPr="001177AF">
        <w:rPr>
          <w:lang w:val="de-DE"/>
        </w:rPr>
        <w:t>, Jona M. Fischer</w:t>
      </w:r>
      <w:r w:rsidR="003F361D" w:rsidRPr="001177AF">
        <w:rPr>
          <w:position w:val="10"/>
          <w:lang w:val="de-DE"/>
        </w:rPr>
        <w:t>1</w:t>
      </w:r>
      <w:r w:rsidRPr="001177AF">
        <w:rPr>
          <w:lang w:val="de-DE"/>
        </w:rPr>
        <w:t xml:space="preserve">, </w:t>
      </w:r>
      <w:r w:rsidR="003F361D" w:rsidRPr="001177AF">
        <w:rPr>
          <w:lang w:val="de-DE"/>
        </w:rPr>
        <w:t>Simon B Eickhoff</w:t>
      </w:r>
      <w:r w:rsidR="003F361D" w:rsidRPr="001177AF">
        <w:rPr>
          <w:position w:val="10"/>
          <w:lang w:val="de-DE"/>
        </w:rPr>
        <w:t>1,2</w:t>
      </w:r>
      <w:r w:rsidR="003F361D" w:rsidRPr="001177AF">
        <w:rPr>
          <w:lang w:val="de-DE"/>
        </w:rPr>
        <w:t xml:space="preserve">, </w:t>
      </w:r>
      <w:r w:rsidRPr="001177AF">
        <w:rPr>
          <w:lang w:val="de-DE"/>
        </w:rPr>
        <w:t>Juergen Dukart</w:t>
      </w:r>
      <w:r w:rsidRPr="001177AF">
        <w:rPr>
          <w:position w:val="10"/>
          <w:lang w:val="de-DE"/>
        </w:rPr>
        <w:t>1,2</w:t>
      </w:r>
    </w:p>
    <w:p w14:paraId="7AF75FED" w14:textId="7C931A3A" w:rsidR="009A0DA0" w:rsidRPr="001177AF" w:rsidRDefault="009A0DA0" w:rsidP="009A0DA0">
      <w:pPr>
        <w:jc w:val="center"/>
        <w:rPr>
          <w:position w:val="10"/>
          <w:sz w:val="18"/>
          <w:szCs w:val="18"/>
          <w:lang w:val="de-DE"/>
        </w:rPr>
      </w:pPr>
    </w:p>
    <w:p w14:paraId="32622FDD" w14:textId="7BD2F072" w:rsidR="009A0DA0" w:rsidRPr="001177AF" w:rsidRDefault="009A0DA0" w:rsidP="009A0DA0">
      <w:pPr>
        <w:jc w:val="center"/>
        <w:rPr>
          <w:position w:val="10"/>
          <w:sz w:val="18"/>
          <w:szCs w:val="18"/>
          <w:lang w:val="de-DE"/>
        </w:rPr>
      </w:pPr>
    </w:p>
    <w:p w14:paraId="665F4A56" w14:textId="77777777" w:rsidR="009A0DA0" w:rsidRPr="001177AF" w:rsidRDefault="009A0DA0" w:rsidP="009A0DA0">
      <w:pPr>
        <w:jc w:val="center"/>
        <w:rPr>
          <w:position w:val="10"/>
          <w:sz w:val="18"/>
          <w:szCs w:val="18"/>
          <w:lang w:val="de-DE"/>
        </w:rPr>
      </w:pPr>
    </w:p>
    <w:p w14:paraId="758BB96D" w14:textId="5F232CC0" w:rsidR="00F723BB" w:rsidRPr="001177AF" w:rsidRDefault="00542C22" w:rsidP="00A01BDF">
      <w:pPr>
        <w:rPr>
          <w:sz w:val="20"/>
          <w:szCs w:val="20"/>
          <w:lang w:val="en-GB"/>
        </w:rPr>
      </w:pPr>
      <w:r w:rsidRPr="001177AF">
        <w:rPr>
          <w:position w:val="8"/>
          <w:sz w:val="20"/>
          <w:szCs w:val="20"/>
          <w:lang w:val="en-GB"/>
        </w:rPr>
        <w:t>1</w:t>
      </w:r>
      <w:r w:rsidRPr="001177AF">
        <w:rPr>
          <w:sz w:val="20"/>
          <w:szCs w:val="20"/>
          <w:lang w:val="en-GB"/>
        </w:rPr>
        <w:t xml:space="preserve">Institute of Neuroscience and Medicine, Brain &amp; Behaviour (INM-7), Research Centre </w:t>
      </w:r>
      <w:r w:rsidR="003F361D" w:rsidRPr="001177AF">
        <w:rPr>
          <w:sz w:val="20"/>
          <w:szCs w:val="20"/>
          <w:lang w:val="en-GB"/>
        </w:rPr>
        <w:t>Jülich</w:t>
      </w:r>
      <w:r w:rsidRPr="001177AF">
        <w:rPr>
          <w:sz w:val="20"/>
          <w:szCs w:val="20"/>
          <w:lang w:val="en-GB"/>
        </w:rPr>
        <w:t xml:space="preserve">, </w:t>
      </w:r>
      <w:r w:rsidR="003F361D" w:rsidRPr="001177AF">
        <w:rPr>
          <w:sz w:val="20"/>
          <w:szCs w:val="20"/>
          <w:lang w:val="en-GB"/>
        </w:rPr>
        <w:t>Jülich</w:t>
      </w:r>
      <w:r w:rsidRPr="001177AF">
        <w:rPr>
          <w:sz w:val="20"/>
          <w:szCs w:val="20"/>
          <w:lang w:val="en-GB"/>
        </w:rPr>
        <w:t>, Germany</w:t>
      </w:r>
    </w:p>
    <w:p w14:paraId="76C6A7F1" w14:textId="77777777" w:rsidR="00A01BDF" w:rsidRPr="001177AF" w:rsidRDefault="00A01BDF" w:rsidP="00A01BDF">
      <w:pPr>
        <w:rPr>
          <w:sz w:val="20"/>
          <w:szCs w:val="20"/>
          <w:lang w:val="en-GB"/>
        </w:rPr>
      </w:pPr>
    </w:p>
    <w:p w14:paraId="35606744" w14:textId="4A9421E2" w:rsidR="00F723BB" w:rsidRPr="001177AF" w:rsidRDefault="00542C22" w:rsidP="009A0DA0">
      <w:pPr>
        <w:rPr>
          <w:sz w:val="20"/>
          <w:szCs w:val="20"/>
          <w:lang w:val="en-GB"/>
        </w:rPr>
      </w:pPr>
      <w:r w:rsidRPr="001177AF">
        <w:rPr>
          <w:position w:val="8"/>
          <w:sz w:val="20"/>
          <w:szCs w:val="20"/>
          <w:lang w:val="en-GB"/>
        </w:rPr>
        <w:t>2</w:t>
      </w:r>
      <w:r w:rsidRPr="001177AF">
        <w:rPr>
          <w:sz w:val="20"/>
          <w:szCs w:val="20"/>
          <w:lang w:val="en-GB"/>
        </w:rPr>
        <w:t xml:space="preserve">Institute of Systems Neuroscience, Medical Faculty, Heinrich Heine University </w:t>
      </w:r>
      <w:r w:rsidR="003F361D" w:rsidRPr="001177AF">
        <w:rPr>
          <w:sz w:val="20"/>
          <w:szCs w:val="20"/>
          <w:lang w:val="en-GB"/>
        </w:rPr>
        <w:t>Düsseldorf</w:t>
      </w:r>
      <w:r w:rsidRPr="001177AF">
        <w:rPr>
          <w:sz w:val="20"/>
          <w:szCs w:val="20"/>
          <w:lang w:val="en-GB"/>
        </w:rPr>
        <w:t xml:space="preserve">, </w:t>
      </w:r>
      <w:r w:rsidR="003F361D" w:rsidRPr="001177AF">
        <w:rPr>
          <w:sz w:val="20"/>
          <w:szCs w:val="20"/>
          <w:lang w:val="en-GB"/>
        </w:rPr>
        <w:t>Düsseldorf</w:t>
      </w:r>
      <w:r w:rsidRPr="001177AF">
        <w:rPr>
          <w:sz w:val="20"/>
          <w:szCs w:val="20"/>
          <w:lang w:val="en-GB"/>
        </w:rPr>
        <w:t xml:space="preserve">, Germany </w:t>
      </w:r>
    </w:p>
    <w:p w14:paraId="1E93FDC9" w14:textId="2E7BC769" w:rsidR="009A0DA0" w:rsidRPr="001177AF" w:rsidRDefault="009A0DA0" w:rsidP="009A0DA0">
      <w:pPr>
        <w:rPr>
          <w:sz w:val="20"/>
          <w:szCs w:val="20"/>
          <w:lang w:val="en-GB"/>
        </w:rPr>
      </w:pPr>
    </w:p>
    <w:p w14:paraId="5D9DD43F" w14:textId="0AE44B35" w:rsidR="009A0DA0" w:rsidRPr="001177AF" w:rsidRDefault="009A0DA0" w:rsidP="009A0DA0">
      <w:pPr>
        <w:rPr>
          <w:sz w:val="20"/>
          <w:szCs w:val="20"/>
          <w:lang w:val="en-GB"/>
        </w:rPr>
      </w:pPr>
    </w:p>
    <w:p w14:paraId="7325ED51" w14:textId="77777777" w:rsidR="009A0DA0" w:rsidRPr="001177AF" w:rsidRDefault="009A0DA0" w:rsidP="009A0DA0">
      <w:pPr>
        <w:rPr>
          <w:sz w:val="20"/>
          <w:szCs w:val="20"/>
          <w:lang w:val="en-GB"/>
        </w:rPr>
      </w:pPr>
    </w:p>
    <w:p w14:paraId="02979012" w14:textId="2990DC4E" w:rsidR="00542C22" w:rsidRPr="001177AF" w:rsidRDefault="00542C22" w:rsidP="00542C22">
      <w:pPr>
        <w:pStyle w:val="NormalWeb"/>
        <w:rPr>
          <w:sz w:val="36"/>
          <w:szCs w:val="36"/>
          <w:lang w:val="en-GB"/>
        </w:rPr>
      </w:pPr>
      <w:r w:rsidRPr="001177AF">
        <w:rPr>
          <w:b/>
          <w:bCs/>
          <w:lang w:val="en-GB"/>
        </w:rPr>
        <w:t xml:space="preserve">Corresponding Author: </w:t>
      </w:r>
    </w:p>
    <w:p w14:paraId="0B7EB678" w14:textId="36B24296" w:rsidR="00542C22" w:rsidRPr="001177AF" w:rsidRDefault="00542C22" w:rsidP="00A01BDF">
      <w:pPr>
        <w:rPr>
          <w:color w:val="0000FF"/>
          <w:sz w:val="20"/>
          <w:szCs w:val="20"/>
          <w:lang w:val="en-GB"/>
        </w:rPr>
      </w:pPr>
      <w:r w:rsidRPr="001177AF">
        <w:rPr>
          <w:sz w:val="20"/>
          <w:szCs w:val="20"/>
          <w:lang w:val="en-GB"/>
        </w:rPr>
        <w:t>Juergen Dukart, PhD</w:t>
      </w:r>
      <w:r w:rsidRPr="001177AF">
        <w:rPr>
          <w:sz w:val="20"/>
          <w:szCs w:val="20"/>
          <w:lang w:val="en-GB"/>
        </w:rPr>
        <w:br/>
        <w:t xml:space="preserve">Institute of Neuroscience and Medicine, Brain &amp; Behaviour (INM-7) Research Centre </w:t>
      </w:r>
      <w:proofErr w:type="spellStart"/>
      <w:r w:rsidRPr="001177AF">
        <w:rPr>
          <w:sz w:val="20"/>
          <w:szCs w:val="20"/>
          <w:lang w:val="en-GB"/>
        </w:rPr>
        <w:t>Jülich</w:t>
      </w:r>
      <w:proofErr w:type="spellEnd"/>
      <w:r w:rsidRPr="001177AF">
        <w:rPr>
          <w:sz w:val="20"/>
          <w:szCs w:val="20"/>
          <w:lang w:val="en-GB"/>
        </w:rPr>
        <w:br/>
        <w:t>Wilhelm-</w:t>
      </w:r>
      <w:proofErr w:type="spellStart"/>
      <w:r w:rsidRPr="001177AF">
        <w:rPr>
          <w:sz w:val="20"/>
          <w:szCs w:val="20"/>
          <w:lang w:val="en-GB"/>
        </w:rPr>
        <w:t>Johnen</w:t>
      </w:r>
      <w:proofErr w:type="spellEnd"/>
      <w:r w:rsidRPr="001177AF">
        <w:rPr>
          <w:sz w:val="20"/>
          <w:szCs w:val="20"/>
          <w:lang w:val="en-GB"/>
        </w:rPr>
        <w:t>-Strasse</w:t>
      </w:r>
      <w:r w:rsidRPr="001177AF">
        <w:rPr>
          <w:sz w:val="20"/>
          <w:szCs w:val="20"/>
          <w:lang w:val="en-GB"/>
        </w:rPr>
        <w:br/>
      </w:r>
      <w:proofErr w:type="spellStart"/>
      <w:r w:rsidRPr="001177AF">
        <w:rPr>
          <w:sz w:val="20"/>
          <w:szCs w:val="20"/>
          <w:lang w:val="en-GB"/>
        </w:rPr>
        <w:t>Jülich</w:t>
      </w:r>
      <w:proofErr w:type="spellEnd"/>
      <w:r w:rsidRPr="001177AF">
        <w:rPr>
          <w:sz w:val="20"/>
          <w:szCs w:val="20"/>
          <w:lang w:val="en-GB"/>
        </w:rPr>
        <w:t>, 52425</w:t>
      </w:r>
      <w:r w:rsidRPr="001177AF">
        <w:rPr>
          <w:sz w:val="20"/>
          <w:szCs w:val="20"/>
          <w:lang w:val="en-GB"/>
        </w:rPr>
        <w:br/>
        <w:t>Germany</w:t>
      </w:r>
      <w:r w:rsidRPr="001177AF">
        <w:rPr>
          <w:sz w:val="20"/>
          <w:szCs w:val="20"/>
          <w:lang w:val="en-GB"/>
        </w:rPr>
        <w:br/>
        <w:t>Phone: 49 1632874330</w:t>
      </w:r>
      <w:r w:rsidRPr="001177AF">
        <w:rPr>
          <w:sz w:val="20"/>
          <w:szCs w:val="20"/>
          <w:lang w:val="en-GB"/>
        </w:rPr>
        <w:br/>
        <w:t>Fax: 49 2461611880</w:t>
      </w:r>
      <w:r w:rsidRPr="001177AF">
        <w:rPr>
          <w:sz w:val="20"/>
          <w:szCs w:val="20"/>
          <w:lang w:val="en-GB"/>
        </w:rPr>
        <w:br/>
        <w:t xml:space="preserve">Email: </w:t>
      </w:r>
      <w:r w:rsidRPr="001177AF">
        <w:rPr>
          <w:color w:val="0000FF"/>
          <w:sz w:val="20"/>
          <w:szCs w:val="20"/>
          <w:lang w:val="en-GB"/>
        </w:rPr>
        <w:t xml:space="preserve">juergen.dukart@gmail.com </w:t>
      </w:r>
    </w:p>
    <w:p w14:paraId="6FB13E25" w14:textId="7DAA007B" w:rsidR="00A01BDF" w:rsidRPr="001177AF" w:rsidRDefault="00A01BDF" w:rsidP="00A01BDF">
      <w:pPr>
        <w:rPr>
          <w:color w:val="0000FF"/>
          <w:lang w:val="en-GB"/>
        </w:rPr>
      </w:pPr>
    </w:p>
    <w:p w14:paraId="7DE17660" w14:textId="110E3E0E" w:rsidR="00A01BDF" w:rsidRPr="001177AF" w:rsidRDefault="00A01BDF" w:rsidP="00A01BDF">
      <w:pPr>
        <w:rPr>
          <w:lang w:val="en-GB"/>
        </w:rPr>
      </w:pPr>
    </w:p>
    <w:p w14:paraId="6A6F5BDA" w14:textId="4D239FF3" w:rsidR="009A0DA0" w:rsidRPr="001177AF" w:rsidRDefault="009A0DA0" w:rsidP="00A01BDF">
      <w:pPr>
        <w:rPr>
          <w:lang w:val="en-GB"/>
        </w:rPr>
      </w:pPr>
    </w:p>
    <w:p w14:paraId="6ABBFA60" w14:textId="4881318E" w:rsidR="009A0DA0" w:rsidRPr="001177AF" w:rsidRDefault="009A0DA0" w:rsidP="00A01BDF">
      <w:pPr>
        <w:rPr>
          <w:lang w:val="en-GB"/>
        </w:rPr>
      </w:pPr>
    </w:p>
    <w:p w14:paraId="1F56F805" w14:textId="77777777" w:rsidR="009A0DA0" w:rsidRPr="001177AF" w:rsidRDefault="009A0DA0" w:rsidP="00A01BDF">
      <w:pPr>
        <w:rPr>
          <w:lang w:val="en-GB"/>
        </w:rPr>
      </w:pPr>
    </w:p>
    <w:p w14:paraId="12443D33" w14:textId="6EFDF727" w:rsidR="007372C3" w:rsidRPr="001177AF" w:rsidRDefault="009A0DA0" w:rsidP="009A0DA0">
      <w:pPr>
        <w:rPr>
          <w:lang w:val="en-GB"/>
        </w:rPr>
      </w:pPr>
      <w:r w:rsidRPr="001177AF">
        <w:rPr>
          <w:lang w:val="en-GB"/>
        </w:rPr>
        <w:t xml:space="preserve">Published in: </w:t>
      </w:r>
      <w:r w:rsidR="00542C22" w:rsidRPr="001177AF">
        <w:rPr>
          <w:lang w:val="en-GB"/>
        </w:rPr>
        <w:t>Front. Public Health, 19 November 2021</w:t>
      </w:r>
      <w:r w:rsidR="00542C22" w:rsidRPr="001177AF">
        <w:rPr>
          <w:lang w:val="en-GB"/>
        </w:rPr>
        <w:br/>
        <w:t>Sec. Digital Public Health</w:t>
      </w:r>
      <w:r w:rsidR="00542C22" w:rsidRPr="001177AF">
        <w:rPr>
          <w:rStyle w:val="apple-converted-space"/>
          <w:color w:val="282828"/>
          <w:lang w:val="en-GB"/>
        </w:rPr>
        <w:t> </w:t>
      </w:r>
      <w:r w:rsidR="00542C22" w:rsidRPr="001177AF">
        <w:rPr>
          <w:lang w:val="en-GB"/>
        </w:rPr>
        <w:br/>
      </w:r>
      <w:r w:rsidR="00542C22" w:rsidRPr="001177AF">
        <w:rPr>
          <w:rStyle w:val="volumeinfo"/>
          <w:color w:val="282828"/>
          <w:lang w:val="en-GB"/>
        </w:rPr>
        <w:t>Volume 9 - 2021 |</w:t>
      </w:r>
      <w:r w:rsidR="00542C22" w:rsidRPr="001177AF">
        <w:rPr>
          <w:rStyle w:val="apple-converted-space"/>
          <w:color w:val="282828"/>
          <w:lang w:val="en-GB"/>
        </w:rPr>
        <w:t> </w:t>
      </w:r>
      <w:hyperlink r:id="rId11" w:history="1">
        <w:r w:rsidR="00542C22" w:rsidRPr="001177AF">
          <w:rPr>
            <w:rStyle w:val="Hyperlink"/>
            <w:color w:val="282828"/>
            <w:lang w:val="en-GB"/>
          </w:rPr>
          <w:t>https://doi.org/10.3389/fpubh.2021.763621</w:t>
        </w:r>
      </w:hyperlink>
    </w:p>
    <w:p w14:paraId="1FFF7D1E" w14:textId="276FBBBF" w:rsidR="009A0DA0" w:rsidRPr="001177AF" w:rsidRDefault="009A0DA0" w:rsidP="009A0DA0">
      <w:pPr>
        <w:rPr>
          <w:lang w:val="en-GB"/>
        </w:rPr>
      </w:pPr>
    </w:p>
    <w:p w14:paraId="04824BAF" w14:textId="159E1C05" w:rsidR="009A0DA0" w:rsidRPr="001177AF" w:rsidRDefault="009A0DA0" w:rsidP="009A0DA0">
      <w:pPr>
        <w:rPr>
          <w:lang w:val="en-GB"/>
        </w:rPr>
      </w:pPr>
    </w:p>
    <w:p w14:paraId="6DA59C11" w14:textId="77777777" w:rsidR="009A0DA0" w:rsidRPr="001177AF" w:rsidRDefault="009A0DA0" w:rsidP="009A0DA0">
      <w:pPr>
        <w:rPr>
          <w:lang w:val="en-GB"/>
        </w:rPr>
      </w:pPr>
    </w:p>
    <w:p w14:paraId="5E62DC2D" w14:textId="4389A323" w:rsidR="00FC4D41" w:rsidRPr="001177AF" w:rsidRDefault="00FC4D41" w:rsidP="00FC4D41">
      <w:pPr>
        <w:pStyle w:val="NormalWeb"/>
        <w:rPr>
          <w:b/>
          <w:bCs/>
          <w:lang w:val="en-GB"/>
        </w:rPr>
      </w:pPr>
      <w:r w:rsidRPr="001177AF">
        <w:rPr>
          <w:b/>
          <w:bCs/>
          <w:lang w:val="en-GB"/>
        </w:rPr>
        <w:t xml:space="preserve">Own contributions </w:t>
      </w:r>
    </w:p>
    <w:p w14:paraId="63FF511E" w14:textId="7B655437" w:rsidR="002615AC" w:rsidRPr="001177AF" w:rsidRDefault="002615AC" w:rsidP="002615AC">
      <w:pPr>
        <w:pStyle w:val="NormalWeb"/>
      </w:pPr>
      <w:bookmarkStart w:id="32" w:name="h9"/>
      <w:bookmarkEnd w:id="32"/>
      <w:r w:rsidRPr="001177AF">
        <w:rPr>
          <w:color w:val="282828"/>
          <w:sz w:val="20"/>
          <w:szCs w:val="20"/>
          <w:lang w:val="en-GB"/>
        </w:rPr>
        <w:t xml:space="preserve">Writing the manuscript, preparing figures, developing smartphone </w:t>
      </w:r>
      <w:r w:rsidR="008C5DE3" w:rsidRPr="001177AF">
        <w:rPr>
          <w:color w:val="282828"/>
          <w:sz w:val="20"/>
          <w:szCs w:val="20"/>
          <w:lang w:val="en-GB"/>
        </w:rPr>
        <w:t>applications</w:t>
      </w:r>
      <w:r w:rsidRPr="001177AF">
        <w:rPr>
          <w:color w:val="282828"/>
          <w:sz w:val="20"/>
          <w:szCs w:val="20"/>
          <w:lang w:val="en-GB"/>
        </w:rPr>
        <w:t xml:space="preserve">, contributing to the design of the experiment, writing analysis code, statistical data analysis, and contributing to the interpretation of results. </w:t>
      </w:r>
      <w:r w:rsidRPr="001177AF">
        <w:rPr>
          <w:sz w:val="18"/>
          <w:szCs w:val="18"/>
        </w:rPr>
        <w:t xml:space="preserve">Total contribution 80% </w:t>
      </w:r>
    </w:p>
    <w:p w14:paraId="2EF68974" w14:textId="77777777" w:rsidR="00AF31C2" w:rsidRPr="001177AF" w:rsidRDefault="00AF31C2">
      <w:pPr>
        <w:rPr>
          <w:b/>
          <w:bCs/>
          <w:sz w:val="36"/>
          <w:szCs w:val="36"/>
          <w:lang w:val="en-GB"/>
        </w:rPr>
        <w:sectPr w:rsidR="00AF31C2" w:rsidRPr="001177AF" w:rsidSect="00950F2E">
          <w:footerReference w:type="default" r:id="rId12"/>
          <w:pgSz w:w="11906" w:h="16838"/>
          <w:pgMar w:top="1418" w:right="1418" w:bottom="1418" w:left="1985" w:header="709" w:footer="709" w:gutter="0"/>
          <w:pgNumType w:start="1"/>
          <w:cols w:space="708"/>
          <w:docGrid w:linePitch="360"/>
        </w:sectPr>
      </w:pPr>
    </w:p>
    <w:p w14:paraId="5D163217" w14:textId="77777777" w:rsidR="00AF31C2" w:rsidRPr="001177AF" w:rsidRDefault="00941A19">
      <w:pPr>
        <w:rPr>
          <w:b/>
          <w:bCs/>
          <w:sz w:val="36"/>
          <w:szCs w:val="36"/>
          <w:lang w:val="en-GB"/>
        </w:rPr>
        <w:sectPr w:rsidR="00AF31C2" w:rsidRPr="001177AF" w:rsidSect="00950F2E">
          <w:footerReference w:type="default" r:id="rId13"/>
          <w:pgSz w:w="11906" w:h="16838"/>
          <w:pgMar w:top="1418" w:right="1418" w:bottom="1418" w:left="1985" w:header="709" w:footer="709" w:gutter="0"/>
          <w:pgNumType w:start="1"/>
          <w:cols w:space="708"/>
          <w:docGrid w:linePitch="360"/>
        </w:sectPr>
      </w:pPr>
      <w:r w:rsidRPr="001177AF">
        <w:rPr>
          <w:b/>
          <w:bCs/>
          <w:noProof/>
          <w:sz w:val="36"/>
          <w:szCs w:val="36"/>
          <w:lang w:val="en-GB"/>
        </w:rPr>
        <w:lastRenderedPageBreak/>
        <w:drawing>
          <wp:inline distT="0" distB="0" distL="0" distR="0" wp14:anchorId="13DBECF6" wp14:editId="0F87D017">
            <wp:extent cx="5399405" cy="707834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4">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776400A1" wp14:editId="0EA1DC07">
            <wp:extent cx="5399405" cy="707834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5">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43837556" wp14:editId="4498ACF8">
            <wp:extent cx="5399405" cy="707834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6">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75788085" wp14:editId="0886753F">
            <wp:extent cx="5399405" cy="707834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7">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6520FB9C" wp14:editId="35A8DF2D">
            <wp:extent cx="5399405" cy="707834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8">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5F29F9B1" wp14:editId="291869CE">
            <wp:extent cx="5399405" cy="707834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9">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449853EE" wp14:editId="0D462677">
            <wp:extent cx="5399405" cy="707834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0">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1DAF0C75" wp14:editId="435CCF43">
            <wp:extent cx="5399405" cy="707834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1">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4A69956D" wp14:editId="52796CF4">
            <wp:extent cx="5399405" cy="707834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2">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59811E1A" wp14:editId="748D1D6C">
            <wp:extent cx="5399405" cy="707834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3">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r w:rsidRPr="001177AF">
        <w:rPr>
          <w:b/>
          <w:bCs/>
          <w:noProof/>
          <w:sz w:val="36"/>
          <w:szCs w:val="36"/>
          <w:lang w:val="en-GB"/>
        </w:rPr>
        <w:lastRenderedPageBreak/>
        <w:drawing>
          <wp:inline distT="0" distB="0" distL="0" distR="0" wp14:anchorId="7BBF49CD" wp14:editId="45634F3C">
            <wp:extent cx="5399405" cy="70783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4">
                      <a:extLst>
                        <a:ext uri="{28A0092B-C50C-407E-A947-70E740481C1C}">
                          <a14:useLocalDpi xmlns:a14="http://schemas.microsoft.com/office/drawing/2010/main" val="0"/>
                        </a:ext>
                      </a:extLst>
                    </a:blip>
                    <a:stretch>
                      <a:fillRect/>
                    </a:stretch>
                  </pic:blipFill>
                  <pic:spPr>
                    <a:xfrm>
                      <a:off x="0" y="0"/>
                      <a:ext cx="5399405" cy="7078345"/>
                    </a:xfrm>
                    <a:prstGeom prst="rect">
                      <a:avLst/>
                    </a:prstGeom>
                  </pic:spPr>
                </pic:pic>
              </a:graphicData>
            </a:graphic>
          </wp:inline>
        </w:drawing>
      </w:r>
    </w:p>
    <w:p w14:paraId="073D948C" w14:textId="77777777" w:rsidR="00AF31C2" w:rsidRPr="001177AF" w:rsidRDefault="00AF31C2">
      <w:pPr>
        <w:rPr>
          <w:b/>
          <w:bCs/>
          <w:sz w:val="36"/>
          <w:szCs w:val="36"/>
          <w:lang w:val="en-GB"/>
        </w:rPr>
      </w:pPr>
    </w:p>
    <w:p w14:paraId="7F4908DD" w14:textId="78E50807" w:rsidR="00D37F78" w:rsidRPr="001177AF" w:rsidRDefault="001A60AB" w:rsidP="004D7775">
      <w:pPr>
        <w:pStyle w:val="Heading2"/>
        <w:jc w:val="both"/>
        <w:rPr>
          <w:lang w:val="en-GB"/>
        </w:rPr>
      </w:pPr>
      <w:bookmarkStart w:id="33" w:name="_Toc132365733"/>
      <w:r w:rsidRPr="001177AF">
        <w:rPr>
          <w:lang w:val="en-GB"/>
        </w:rPr>
        <w:t>Paper2: System Comparison for Gait and Balance Monitoring Used for the Evaluation of a Home-Based Training</w:t>
      </w:r>
      <w:bookmarkEnd w:id="33"/>
    </w:p>
    <w:p w14:paraId="2DDA68D0" w14:textId="3C08BBE4" w:rsidR="007372C3" w:rsidRPr="001177AF" w:rsidRDefault="007372C3" w:rsidP="009A0DA0">
      <w:pPr>
        <w:autoSpaceDE w:val="0"/>
        <w:autoSpaceDN w:val="0"/>
        <w:adjustRightInd w:val="0"/>
        <w:jc w:val="center"/>
        <w:rPr>
          <w:position w:val="10"/>
          <w:lang w:val="de-DE"/>
        </w:rPr>
      </w:pPr>
      <w:r w:rsidRPr="001177AF">
        <w:rPr>
          <w:rFonts w:eastAsiaTheme="minorHAnsi"/>
          <w:lang w:val="de-DE" w:eastAsia="en-US"/>
        </w:rPr>
        <w:t xml:space="preserve">Clara </w:t>
      </w:r>
      <w:proofErr w:type="spellStart"/>
      <w:r w:rsidRPr="001177AF">
        <w:rPr>
          <w:rFonts w:eastAsiaTheme="minorHAnsi"/>
          <w:lang w:val="de-DE" w:eastAsia="en-US"/>
        </w:rPr>
        <w:t>Rentz</w:t>
      </w:r>
      <w:proofErr w:type="spellEnd"/>
      <w:r w:rsidR="004D7775" w:rsidRPr="001177AF">
        <w:rPr>
          <w:position w:val="10"/>
          <w:lang w:val="de-DE"/>
        </w:rPr>
        <w:t>1</w:t>
      </w:r>
      <w:r w:rsidR="004D7775" w:rsidRPr="001177AF">
        <w:rPr>
          <w:rFonts w:eastAsiaTheme="minorHAnsi"/>
          <w:lang w:val="de-DE" w:eastAsia="en-US"/>
        </w:rPr>
        <w:t>,</w:t>
      </w:r>
      <w:r w:rsidRPr="001177AF">
        <w:rPr>
          <w:rFonts w:eastAsiaTheme="minorHAnsi"/>
          <w:lang w:val="de-DE" w:eastAsia="en-US"/>
        </w:rPr>
        <w:t xml:space="preserve"> Mehran </w:t>
      </w:r>
      <w:proofErr w:type="spellStart"/>
      <w:r w:rsidRPr="001177AF">
        <w:rPr>
          <w:rFonts w:eastAsiaTheme="minorHAnsi"/>
          <w:lang w:val="de-DE" w:eastAsia="en-US"/>
        </w:rPr>
        <w:t>Sahandi</w:t>
      </w:r>
      <w:proofErr w:type="spellEnd"/>
      <w:r w:rsidRPr="001177AF">
        <w:rPr>
          <w:rFonts w:eastAsiaTheme="minorHAnsi"/>
          <w:lang w:val="de-DE" w:eastAsia="en-US"/>
        </w:rPr>
        <w:t xml:space="preserve"> </w:t>
      </w:r>
      <w:proofErr w:type="spellStart"/>
      <w:r w:rsidRPr="001177AF">
        <w:rPr>
          <w:rFonts w:eastAsiaTheme="minorHAnsi"/>
          <w:lang w:val="de-DE" w:eastAsia="en-US"/>
        </w:rPr>
        <w:t>Far</w:t>
      </w:r>
      <w:proofErr w:type="spellEnd"/>
      <w:r w:rsidR="00F723BB" w:rsidRPr="001177AF">
        <w:rPr>
          <w:position w:val="10"/>
          <w:lang w:val="de-DE"/>
        </w:rPr>
        <w:t>2,</w:t>
      </w:r>
      <w:r w:rsidR="00D37F78" w:rsidRPr="001177AF">
        <w:rPr>
          <w:position w:val="10"/>
          <w:lang w:val="de-DE"/>
        </w:rPr>
        <w:t>3</w:t>
      </w:r>
      <w:r w:rsidR="00D37F78" w:rsidRPr="001177AF">
        <w:rPr>
          <w:rFonts w:eastAsiaTheme="minorHAnsi"/>
          <w:lang w:val="de-DE" w:eastAsia="en-US"/>
        </w:rPr>
        <w:t>,</w:t>
      </w:r>
      <w:r w:rsidRPr="001177AF">
        <w:rPr>
          <w:rFonts w:eastAsiaTheme="minorHAnsi"/>
          <w:lang w:val="de-DE" w:eastAsia="en-US"/>
        </w:rPr>
        <w:t xml:space="preserve"> Maik Boltes</w:t>
      </w:r>
      <w:r w:rsidR="00D37F78" w:rsidRPr="001177AF">
        <w:rPr>
          <w:position w:val="10"/>
          <w:lang w:val="de-DE"/>
        </w:rPr>
        <w:t>4</w:t>
      </w:r>
      <w:r w:rsidR="00D37F78" w:rsidRPr="001177AF">
        <w:rPr>
          <w:rFonts w:eastAsiaTheme="minorHAnsi"/>
          <w:lang w:val="de-DE" w:eastAsia="en-US"/>
        </w:rPr>
        <w:t>,</w:t>
      </w:r>
      <w:r w:rsidRPr="001177AF">
        <w:rPr>
          <w:rFonts w:eastAsiaTheme="minorHAnsi"/>
          <w:lang w:val="de-DE" w:eastAsia="en-US"/>
        </w:rPr>
        <w:t xml:space="preserve"> Alfons Schnitzler</w:t>
      </w:r>
      <w:r w:rsidR="00F723BB" w:rsidRPr="001177AF">
        <w:rPr>
          <w:position w:val="10"/>
          <w:lang w:val="de-DE"/>
        </w:rPr>
        <w:t>5,</w:t>
      </w:r>
      <w:r w:rsidR="003F361D" w:rsidRPr="001177AF">
        <w:rPr>
          <w:position w:val="10"/>
          <w:lang w:val="de-DE"/>
        </w:rPr>
        <w:t>6</w:t>
      </w:r>
      <w:r w:rsidR="003F361D" w:rsidRPr="001177AF">
        <w:rPr>
          <w:rFonts w:eastAsiaTheme="minorHAnsi"/>
          <w:lang w:val="de-DE" w:eastAsia="en-US"/>
        </w:rPr>
        <w:t>,</w:t>
      </w:r>
      <w:r w:rsidRPr="001177AF">
        <w:rPr>
          <w:rFonts w:eastAsiaTheme="minorHAnsi"/>
          <w:lang w:val="de-DE" w:eastAsia="en-US"/>
        </w:rPr>
        <w:t xml:space="preserve"> Katrin </w:t>
      </w:r>
      <w:proofErr w:type="spellStart"/>
      <w:r w:rsidRPr="001177AF">
        <w:rPr>
          <w:rFonts w:eastAsiaTheme="minorHAnsi"/>
          <w:lang w:val="de-DE" w:eastAsia="en-US"/>
        </w:rPr>
        <w:t>Amunts</w:t>
      </w:r>
      <w:proofErr w:type="spellEnd"/>
      <w:r w:rsidR="00F723BB" w:rsidRPr="001177AF">
        <w:rPr>
          <w:position w:val="10"/>
          <w:lang w:val="de-DE"/>
        </w:rPr>
        <w:t>1,7</w:t>
      </w:r>
      <w:r w:rsidRPr="001177AF">
        <w:rPr>
          <w:rFonts w:eastAsiaTheme="minorHAnsi"/>
          <w:lang w:val="de-DE" w:eastAsia="en-US"/>
        </w:rPr>
        <w:t>,</w:t>
      </w:r>
      <w:r w:rsidR="00F723BB" w:rsidRPr="001177AF">
        <w:rPr>
          <w:rFonts w:eastAsiaTheme="minorHAnsi"/>
          <w:lang w:val="de-DE" w:eastAsia="en-US"/>
        </w:rPr>
        <w:t xml:space="preserve"> </w:t>
      </w:r>
      <w:r w:rsidRPr="001177AF">
        <w:rPr>
          <w:rFonts w:eastAsiaTheme="minorHAnsi"/>
          <w:lang w:val="de-DE" w:eastAsia="en-US"/>
        </w:rPr>
        <w:t xml:space="preserve">Juergen </w:t>
      </w:r>
      <w:proofErr w:type="spellStart"/>
      <w:r w:rsidRPr="001177AF">
        <w:rPr>
          <w:rFonts w:eastAsiaTheme="minorHAnsi"/>
          <w:lang w:val="de-DE" w:eastAsia="en-US"/>
        </w:rPr>
        <w:t>Dukart</w:t>
      </w:r>
      <w:proofErr w:type="spellEnd"/>
      <w:r w:rsidR="00F723BB" w:rsidRPr="001177AF">
        <w:rPr>
          <w:position w:val="10"/>
          <w:lang w:val="de-DE"/>
        </w:rPr>
        <w:t>2,3</w:t>
      </w:r>
      <w:r w:rsidRPr="001177AF">
        <w:rPr>
          <w:rFonts w:eastAsiaTheme="minorHAnsi"/>
          <w:lang w:val="de-DE" w:eastAsia="en-US"/>
        </w:rPr>
        <w:t xml:space="preserve"> and Martina </w:t>
      </w:r>
      <w:proofErr w:type="spellStart"/>
      <w:r w:rsidRPr="001177AF">
        <w:rPr>
          <w:rFonts w:eastAsiaTheme="minorHAnsi"/>
          <w:lang w:val="de-DE" w:eastAsia="en-US"/>
        </w:rPr>
        <w:t>Minnerop</w:t>
      </w:r>
      <w:proofErr w:type="spellEnd"/>
      <w:r w:rsidR="00F723BB" w:rsidRPr="001177AF">
        <w:rPr>
          <w:position w:val="10"/>
          <w:lang w:val="de-DE"/>
        </w:rPr>
        <w:t>1,5,6</w:t>
      </w:r>
    </w:p>
    <w:p w14:paraId="51B9FF85" w14:textId="476C32E4" w:rsidR="00F723BB" w:rsidRPr="001177AF" w:rsidRDefault="00F723BB" w:rsidP="007372C3">
      <w:pPr>
        <w:autoSpaceDE w:val="0"/>
        <w:autoSpaceDN w:val="0"/>
        <w:adjustRightInd w:val="0"/>
        <w:jc w:val="both"/>
        <w:rPr>
          <w:position w:val="10"/>
          <w:sz w:val="15"/>
          <w:szCs w:val="15"/>
          <w:lang w:val="de-DE"/>
        </w:rPr>
      </w:pPr>
    </w:p>
    <w:p w14:paraId="1CE93E08" w14:textId="67D8376A" w:rsidR="003F361D" w:rsidRPr="001177AF" w:rsidRDefault="003F361D" w:rsidP="007372C3">
      <w:pPr>
        <w:autoSpaceDE w:val="0"/>
        <w:autoSpaceDN w:val="0"/>
        <w:adjustRightInd w:val="0"/>
        <w:jc w:val="both"/>
        <w:rPr>
          <w:position w:val="10"/>
          <w:sz w:val="15"/>
          <w:szCs w:val="15"/>
          <w:lang w:val="de-DE"/>
        </w:rPr>
      </w:pPr>
    </w:p>
    <w:p w14:paraId="6CD2BDA3" w14:textId="77777777" w:rsidR="003F361D" w:rsidRPr="001177AF" w:rsidRDefault="003F361D" w:rsidP="007372C3">
      <w:pPr>
        <w:autoSpaceDE w:val="0"/>
        <w:autoSpaceDN w:val="0"/>
        <w:adjustRightInd w:val="0"/>
        <w:jc w:val="both"/>
        <w:rPr>
          <w:rFonts w:eastAsiaTheme="minorHAnsi"/>
          <w:i/>
          <w:iCs/>
          <w:sz w:val="22"/>
          <w:szCs w:val="22"/>
          <w:lang w:val="de-DE" w:eastAsia="en-US"/>
        </w:rPr>
      </w:pPr>
    </w:p>
    <w:p w14:paraId="39F00ACF" w14:textId="641449EB" w:rsidR="00A01BDF"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1</w:t>
      </w:r>
      <w:r w:rsidR="007372C3" w:rsidRPr="001177AF">
        <w:rPr>
          <w:rFonts w:eastAsiaTheme="minorHAnsi"/>
          <w:sz w:val="20"/>
          <w:szCs w:val="20"/>
          <w:lang w:val="en-GB" w:eastAsia="en-US"/>
        </w:rPr>
        <w:t xml:space="preserve"> Institute of Neuroscience and Medicine (INM-1), Research Centre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 xml:space="preserve">, 52428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 xml:space="preserve">, </w:t>
      </w:r>
      <w:r w:rsidRPr="001177AF">
        <w:rPr>
          <w:rFonts w:eastAsiaTheme="minorHAnsi"/>
          <w:sz w:val="20"/>
          <w:szCs w:val="20"/>
          <w:lang w:val="en-GB" w:eastAsia="en-US"/>
        </w:rPr>
        <w:t>Germany</w:t>
      </w:r>
    </w:p>
    <w:p w14:paraId="7964A079" w14:textId="77777777" w:rsidR="004D7775" w:rsidRPr="001177AF" w:rsidRDefault="004D7775" w:rsidP="00FA503C">
      <w:pPr>
        <w:autoSpaceDE w:val="0"/>
        <w:autoSpaceDN w:val="0"/>
        <w:adjustRightInd w:val="0"/>
        <w:jc w:val="both"/>
        <w:rPr>
          <w:rFonts w:eastAsiaTheme="minorHAnsi"/>
          <w:sz w:val="20"/>
          <w:szCs w:val="20"/>
          <w:lang w:val="en-GB" w:eastAsia="en-US"/>
        </w:rPr>
      </w:pPr>
    </w:p>
    <w:p w14:paraId="1F3082C8" w14:textId="1C7E0577"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2</w:t>
      </w:r>
      <w:r w:rsidR="007372C3" w:rsidRPr="001177AF">
        <w:rPr>
          <w:rFonts w:eastAsiaTheme="minorHAnsi"/>
          <w:sz w:val="20"/>
          <w:szCs w:val="20"/>
          <w:lang w:val="en-GB" w:eastAsia="en-US"/>
        </w:rPr>
        <w:t xml:space="preserve">Institute of Neuroscience and Medicine, Brain &amp; Behaviour (INM-7), Research Centre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w:t>
      </w:r>
      <w:r w:rsidR="00FA503C" w:rsidRPr="001177AF">
        <w:rPr>
          <w:rFonts w:eastAsiaTheme="minorHAnsi"/>
          <w:sz w:val="20"/>
          <w:szCs w:val="20"/>
          <w:lang w:val="en-GB" w:eastAsia="en-US"/>
        </w:rPr>
        <w:t xml:space="preserve"> </w:t>
      </w:r>
      <w:r w:rsidR="007372C3" w:rsidRPr="001177AF">
        <w:rPr>
          <w:rFonts w:eastAsiaTheme="minorHAnsi"/>
          <w:sz w:val="20"/>
          <w:szCs w:val="20"/>
          <w:lang w:val="en-GB" w:eastAsia="en-US"/>
        </w:rPr>
        <w:t xml:space="preserve">52428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 Germany</w:t>
      </w:r>
    </w:p>
    <w:p w14:paraId="0CAD065F" w14:textId="77777777" w:rsidR="004D7775" w:rsidRPr="001177AF" w:rsidRDefault="004D7775" w:rsidP="00FA503C">
      <w:pPr>
        <w:autoSpaceDE w:val="0"/>
        <w:autoSpaceDN w:val="0"/>
        <w:adjustRightInd w:val="0"/>
        <w:jc w:val="both"/>
        <w:rPr>
          <w:rFonts w:eastAsiaTheme="minorHAnsi"/>
          <w:sz w:val="20"/>
          <w:szCs w:val="20"/>
          <w:lang w:val="en-GB" w:eastAsia="en-US"/>
        </w:rPr>
      </w:pPr>
    </w:p>
    <w:p w14:paraId="1AE26FC0" w14:textId="20AACB15"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3</w:t>
      </w:r>
      <w:r w:rsidR="007372C3" w:rsidRPr="001177AF">
        <w:rPr>
          <w:rFonts w:eastAsiaTheme="minorHAnsi"/>
          <w:sz w:val="20"/>
          <w:szCs w:val="20"/>
          <w:lang w:val="en-GB" w:eastAsia="en-US"/>
        </w:rPr>
        <w:t xml:space="preserve"> Institute of Systems Neuroscience, Medical Faculty, Heinrich-Heine University Duesseldorf,</w:t>
      </w:r>
      <w:r w:rsidR="00FA503C" w:rsidRPr="001177AF">
        <w:rPr>
          <w:rFonts w:eastAsiaTheme="minorHAnsi"/>
          <w:sz w:val="20"/>
          <w:szCs w:val="20"/>
          <w:lang w:val="en-GB" w:eastAsia="en-US"/>
        </w:rPr>
        <w:t xml:space="preserve"> </w:t>
      </w:r>
      <w:r w:rsidR="007372C3" w:rsidRPr="001177AF">
        <w:rPr>
          <w:rFonts w:eastAsiaTheme="minorHAnsi"/>
          <w:sz w:val="20"/>
          <w:szCs w:val="20"/>
          <w:lang w:val="en-GB" w:eastAsia="en-US"/>
        </w:rPr>
        <w:t>40225 Duesseldorf, Germany</w:t>
      </w:r>
    </w:p>
    <w:p w14:paraId="1FFC563B" w14:textId="77777777" w:rsidR="004D7775" w:rsidRPr="001177AF" w:rsidRDefault="004D7775" w:rsidP="00FA503C">
      <w:pPr>
        <w:autoSpaceDE w:val="0"/>
        <w:autoSpaceDN w:val="0"/>
        <w:adjustRightInd w:val="0"/>
        <w:jc w:val="both"/>
        <w:rPr>
          <w:rFonts w:eastAsiaTheme="minorHAnsi"/>
          <w:sz w:val="20"/>
          <w:szCs w:val="20"/>
          <w:lang w:val="en-GB" w:eastAsia="en-US"/>
        </w:rPr>
      </w:pPr>
    </w:p>
    <w:p w14:paraId="3A7F573E" w14:textId="2E84CB62"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4</w:t>
      </w:r>
      <w:r w:rsidR="007372C3" w:rsidRPr="001177AF">
        <w:rPr>
          <w:rFonts w:eastAsiaTheme="minorHAnsi"/>
          <w:sz w:val="20"/>
          <w:szCs w:val="20"/>
          <w:lang w:val="en-GB" w:eastAsia="en-US"/>
        </w:rPr>
        <w:t xml:space="preserve"> Institute for Advanced Simulation (IAS-7), Research Centre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 xml:space="preserve">, 52428 </w:t>
      </w:r>
      <w:r w:rsidR="004D7775" w:rsidRPr="001177AF">
        <w:rPr>
          <w:rFonts w:eastAsiaTheme="minorHAnsi"/>
          <w:sz w:val="20"/>
          <w:szCs w:val="20"/>
          <w:lang w:val="en-GB" w:eastAsia="en-US"/>
        </w:rPr>
        <w:t>Jülich</w:t>
      </w:r>
      <w:r w:rsidR="007372C3" w:rsidRPr="001177AF">
        <w:rPr>
          <w:rFonts w:eastAsiaTheme="minorHAnsi"/>
          <w:sz w:val="20"/>
          <w:szCs w:val="20"/>
          <w:lang w:val="en-GB" w:eastAsia="en-US"/>
        </w:rPr>
        <w:t>, Germany</w:t>
      </w:r>
    </w:p>
    <w:p w14:paraId="55AE9653" w14:textId="77777777" w:rsidR="00A01BDF" w:rsidRPr="001177AF" w:rsidRDefault="00A01BDF" w:rsidP="00FA503C">
      <w:pPr>
        <w:autoSpaceDE w:val="0"/>
        <w:autoSpaceDN w:val="0"/>
        <w:adjustRightInd w:val="0"/>
        <w:jc w:val="both"/>
        <w:rPr>
          <w:rFonts w:eastAsiaTheme="minorHAnsi"/>
          <w:sz w:val="20"/>
          <w:szCs w:val="20"/>
          <w:lang w:val="en-GB" w:eastAsia="en-US"/>
        </w:rPr>
      </w:pPr>
    </w:p>
    <w:p w14:paraId="144FB47F" w14:textId="01EC1CD7"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5</w:t>
      </w:r>
      <w:r w:rsidR="007372C3" w:rsidRPr="001177AF">
        <w:rPr>
          <w:rFonts w:eastAsiaTheme="minorHAnsi"/>
          <w:sz w:val="20"/>
          <w:szCs w:val="20"/>
          <w:lang w:val="en-GB" w:eastAsia="en-US"/>
        </w:rPr>
        <w:t xml:space="preserve">Department of Neurology, </w:t>
      </w:r>
      <w:r w:rsidR="004D7775" w:rsidRPr="001177AF">
        <w:rPr>
          <w:rFonts w:eastAsiaTheme="minorHAnsi"/>
          <w:sz w:val="20"/>
          <w:szCs w:val="20"/>
          <w:lang w:val="en-GB" w:eastAsia="en-US"/>
        </w:rPr>
        <w:t>Centre</w:t>
      </w:r>
      <w:r w:rsidR="007372C3" w:rsidRPr="001177AF">
        <w:rPr>
          <w:rFonts w:eastAsiaTheme="minorHAnsi"/>
          <w:sz w:val="20"/>
          <w:szCs w:val="20"/>
          <w:lang w:val="en-GB" w:eastAsia="en-US"/>
        </w:rPr>
        <w:t xml:space="preserve"> for Movement Disorders and Neuromodulation, Medical Faculty,</w:t>
      </w:r>
      <w:r w:rsidR="00FA503C" w:rsidRPr="001177AF">
        <w:rPr>
          <w:rFonts w:eastAsiaTheme="minorHAnsi"/>
          <w:sz w:val="20"/>
          <w:szCs w:val="20"/>
          <w:lang w:val="en-GB" w:eastAsia="en-US"/>
        </w:rPr>
        <w:t xml:space="preserve"> </w:t>
      </w:r>
      <w:r w:rsidR="007372C3" w:rsidRPr="001177AF">
        <w:rPr>
          <w:rFonts w:eastAsiaTheme="minorHAnsi"/>
          <w:sz w:val="20"/>
          <w:szCs w:val="20"/>
          <w:lang w:val="en-US" w:eastAsia="en-US"/>
        </w:rPr>
        <w:t xml:space="preserve">Heinrich-Heine University </w:t>
      </w:r>
      <w:r w:rsidR="004D7775" w:rsidRPr="001177AF">
        <w:rPr>
          <w:rFonts w:eastAsiaTheme="minorHAnsi"/>
          <w:sz w:val="20"/>
          <w:szCs w:val="20"/>
          <w:lang w:val="en-US" w:eastAsia="en-US"/>
        </w:rPr>
        <w:t>Düsseldorf</w:t>
      </w:r>
      <w:r w:rsidR="007372C3" w:rsidRPr="001177AF">
        <w:rPr>
          <w:rFonts w:eastAsiaTheme="minorHAnsi"/>
          <w:sz w:val="20"/>
          <w:szCs w:val="20"/>
          <w:lang w:val="en-US" w:eastAsia="en-US"/>
        </w:rPr>
        <w:t xml:space="preserve">, 40225 </w:t>
      </w:r>
      <w:r w:rsidR="004D7775" w:rsidRPr="001177AF">
        <w:rPr>
          <w:rFonts w:eastAsiaTheme="minorHAnsi"/>
          <w:sz w:val="20"/>
          <w:szCs w:val="20"/>
          <w:lang w:val="en-US" w:eastAsia="en-US"/>
        </w:rPr>
        <w:t>Düsseldorf</w:t>
      </w:r>
      <w:r w:rsidR="007372C3" w:rsidRPr="001177AF">
        <w:rPr>
          <w:rFonts w:eastAsiaTheme="minorHAnsi"/>
          <w:sz w:val="20"/>
          <w:szCs w:val="20"/>
          <w:lang w:val="en-US" w:eastAsia="en-US"/>
        </w:rPr>
        <w:t>, Germany</w:t>
      </w:r>
    </w:p>
    <w:p w14:paraId="57945DB2" w14:textId="77777777" w:rsidR="00A01BDF" w:rsidRPr="001177AF" w:rsidRDefault="00A01BDF" w:rsidP="00FA503C">
      <w:pPr>
        <w:autoSpaceDE w:val="0"/>
        <w:autoSpaceDN w:val="0"/>
        <w:adjustRightInd w:val="0"/>
        <w:jc w:val="both"/>
        <w:rPr>
          <w:rFonts w:eastAsiaTheme="minorHAnsi"/>
          <w:sz w:val="20"/>
          <w:szCs w:val="20"/>
          <w:lang w:val="en-US" w:eastAsia="en-US"/>
        </w:rPr>
      </w:pPr>
    </w:p>
    <w:p w14:paraId="43ABC746" w14:textId="5C0884F1"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6</w:t>
      </w:r>
      <w:r w:rsidR="007372C3" w:rsidRPr="001177AF">
        <w:rPr>
          <w:rFonts w:eastAsiaTheme="minorHAnsi"/>
          <w:sz w:val="20"/>
          <w:szCs w:val="20"/>
          <w:lang w:val="en-GB" w:eastAsia="en-US"/>
        </w:rPr>
        <w:t>Institute of Clinical Neuroscience and Medical Psychology, Medical Faculty, Heinrich-Heine University</w:t>
      </w:r>
      <w:r w:rsidR="00FA503C" w:rsidRPr="001177AF">
        <w:rPr>
          <w:rFonts w:eastAsiaTheme="minorHAnsi"/>
          <w:sz w:val="20"/>
          <w:szCs w:val="20"/>
          <w:lang w:val="en-GB" w:eastAsia="en-US"/>
        </w:rPr>
        <w:t xml:space="preserve"> </w:t>
      </w:r>
      <w:r w:rsidR="007372C3" w:rsidRPr="001177AF">
        <w:rPr>
          <w:rFonts w:eastAsiaTheme="minorHAnsi"/>
          <w:sz w:val="20"/>
          <w:szCs w:val="20"/>
          <w:lang w:val="en-GB" w:eastAsia="en-US"/>
        </w:rPr>
        <w:t>Duesseldorf, 40225 Duesseldorf, Germany</w:t>
      </w:r>
    </w:p>
    <w:p w14:paraId="72C01471" w14:textId="77777777" w:rsidR="00A01BDF" w:rsidRPr="001177AF" w:rsidRDefault="00A01BDF" w:rsidP="00FA503C">
      <w:pPr>
        <w:autoSpaceDE w:val="0"/>
        <w:autoSpaceDN w:val="0"/>
        <w:adjustRightInd w:val="0"/>
        <w:jc w:val="both"/>
        <w:rPr>
          <w:rFonts w:eastAsiaTheme="minorHAnsi"/>
          <w:sz w:val="20"/>
          <w:szCs w:val="20"/>
          <w:lang w:val="en-GB" w:eastAsia="en-US"/>
        </w:rPr>
      </w:pPr>
    </w:p>
    <w:p w14:paraId="1FAAF191" w14:textId="1E3E9873" w:rsidR="007372C3" w:rsidRPr="001177AF" w:rsidRDefault="00F723BB" w:rsidP="00FA503C">
      <w:pPr>
        <w:autoSpaceDE w:val="0"/>
        <w:autoSpaceDN w:val="0"/>
        <w:adjustRightInd w:val="0"/>
        <w:jc w:val="both"/>
        <w:rPr>
          <w:rFonts w:eastAsiaTheme="minorHAnsi"/>
          <w:sz w:val="20"/>
          <w:szCs w:val="20"/>
          <w:lang w:val="en-GB" w:eastAsia="en-US"/>
        </w:rPr>
      </w:pPr>
      <w:r w:rsidRPr="001177AF">
        <w:rPr>
          <w:position w:val="8"/>
          <w:sz w:val="20"/>
          <w:szCs w:val="20"/>
          <w:lang w:val="en-GB"/>
        </w:rPr>
        <w:t>7</w:t>
      </w:r>
      <w:r w:rsidR="007372C3" w:rsidRPr="001177AF">
        <w:rPr>
          <w:rFonts w:eastAsiaTheme="minorHAnsi"/>
          <w:sz w:val="20"/>
          <w:szCs w:val="20"/>
          <w:lang w:val="en-GB" w:eastAsia="en-US"/>
        </w:rPr>
        <w:t>Institute for Brain Research, Medical Faculty, University Hospital Duesseldorf,</w:t>
      </w:r>
      <w:r w:rsidR="00FA503C" w:rsidRPr="001177AF">
        <w:rPr>
          <w:rFonts w:eastAsiaTheme="minorHAnsi"/>
          <w:sz w:val="20"/>
          <w:szCs w:val="20"/>
          <w:lang w:val="en-GB" w:eastAsia="en-US"/>
        </w:rPr>
        <w:t xml:space="preserve"> </w:t>
      </w:r>
      <w:r w:rsidR="007372C3" w:rsidRPr="001177AF">
        <w:rPr>
          <w:rFonts w:eastAsiaTheme="minorHAnsi"/>
          <w:sz w:val="20"/>
          <w:szCs w:val="20"/>
          <w:lang w:val="en-GB" w:eastAsia="en-US"/>
        </w:rPr>
        <w:t>Duesseldorf, Germany</w:t>
      </w:r>
    </w:p>
    <w:p w14:paraId="70403029" w14:textId="69848642" w:rsidR="009A0DA0" w:rsidRPr="001177AF" w:rsidRDefault="009A0DA0" w:rsidP="007372C3">
      <w:pPr>
        <w:autoSpaceDE w:val="0"/>
        <w:autoSpaceDN w:val="0"/>
        <w:adjustRightInd w:val="0"/>
        <w:jc w:val="both"/>
        <w:rPr>
          <w:rFonts w:eastAsiaTheme="minorHAnsi"/>
          <w:sz w:val="20"/>
          <w:szCs w:val="20"/>
          <w:lang w:val="en-GB" w:eastAsia="en-US"/>
        </w:rPr>
      </w:pPr>
    </w:p>
    <w:p w14:paraId="1C1F8B70" w14:textId="01350C07" w:rsidR="009A0DA0" w:rsidRPr="001177AF" w:rsidRDefault="009A0DA0" w:rsidP="007372C3">
      <w:pPr>
        <w:autoSpaceDE w:val="0"/>
        <w:autoSpaceDN w:val="0"/>
        <w:adjustRightInd w:val="0"/>
        <w:jc w:val="both"/>
        <w:rPr>
          <w:rFonts w:eastAsiaTheme="minorHAnsi"/>
          <w:sz w:val="20"/>
          <w:szCs w:val="20"/>
          <w:lang w:val="en-GB" w:eastAsia="en-US"/>
        </w:rPr>
      </w:pPr>
    </w:p>
    <w:p w14:paraId="6B1B0ED4" w14:textId="77777777" w:rsidR="009A0DA0" w:rsidRPr="001177AF" w:rsidRDefault="009A0DA0" w:rsidP="007372C3">
      <w:pPr>
        <w:autoSpaceDE w:val="0"/>
        <w:autoSpaceDN w:val="0"/>
        <w:adjustRightInd w:val="0"/>
        <w:jc w:val="both"/>
        <w:rPr>
          <w:rFonts w:eastAsiaTheme="minorHAnsi"/>
          <w:sz w:val="20"/>
          <w:szCs w:val="20"/>
          <w:lang w:val="en-GB" w:eastAsia="en-US"/>
        </w:rPr>
      </w:pPr>
    </w:p>
    <w:p w14:paraId="49A73EF7" w14:textId="77777777" w:rsidR="00F723BB" w:rsidRPr="001177AF" w:rsidRDefault="00F723BB" w:rsidP="007372C3">
      <w:pPr>
        <w:autoSpaceDE w:val="0"/>
        <w:autoSpaceDN w:val="0"/>
        <w:adjustRightInd w:val="0"/>
        <w:jc w:val="both"/>
        <w:rPr>
          <w:rFonts w:eastAsiaTheme="minorHAnsi"/>
          <w:sz w:val="20"/>
          <w:szCs w:val="20"/>
          <w:lang w:val="en-GB" w:eastAsia="en-US"/>
        </w:rPr>
      </w:pPr>
    </w:p>
    <w:p w14:paraId="01B8F368" w14:textId="77777777" w:rsidR="00A01BDF" w:rsidRPr="001177AF" w:rsidRDefault="00A01BDF" w:rsidP="00A01BDF">
      <w:pPr>
        <w:pStyle w:val="NormalWeb"/>
        <w:rPr>
          <w:sz w:val="36"/>
          <w:szCs w:val="36"/>
          <w:lang w:val="en-GB"/>
        </w:rPr>
      </w:pPr>
      <w:r w:rsidRPr="001177AF">
        <w:rPr>
          <w:b/>
          <w:bCs/>
          <w:lang w:val="en-GB"/>
        </w:rPr>
        <w:t xml:space="preserve">Corresponding Author: </w:t>
      </w:r>
    </w:p>
    <w:p w14:paraId="07F7A505" w14:textId="6D8EBCEA" w:rsidR="00A01BDF" w:rsidRPr="001177AF" w:rsidRDefault="00A01BDF" w:rsidP="004D7775">
      <w:pPr>
        <w:rPr>
          <w:rFonts w:eastAsiaTheme="minorHAnsi"/>
          <w:sz w:val="20"/>
          <w:szCs w:val="20"/>
          <w:lang w:val="en-GB" w:eastAsia="en-US"/>
        </w:rPr>
      </w:pPr>
      <w:r w:rsidRPr="001177AF">
        <w:rPr>
          <w:rFonts w:eastAsiaTheme="minorHAnsi"/>
          <w:sz w:val="20"/>
          <w:szCs w:val="20"/>
          <w:lang w:val="en-GB" w:eastAsia="en-US"/>
        </w:rPr>
        <w:t xml:space="preserve">Clara </w:t>
      </w:r>
      <w:proofErr w:type="spellStart"/>
      <w:r w:rsidRPr="001177AF">
        <w:rPr>
          <w:rFonts w:eastAsiaTheme="minorHAnsi"/>
          <w:sz w:val="20"/>
          <w:szCs w:val="20"/>
          <w:lang w:val="en-GB" w:eastAsia="en-US"/>
        </w:rPr>
        <w:t>Rentz</w:t>
      </w:r>
      <w:proofErr w:type="spellEnd"/>
      <w:r w:rsidRPr="001177AF">
        <w:rPr>
          <w:rFonts w:eastAsiaTheme="minorHAnsi"/>
          <w:sz w:val="20"/>
          <w:szCs w:val="20"/>
          <w:lang w:val="en-GB" w:eastAsia="en-US"/>
        </w:rPr>
        <w:t xml:space="preserve"> </w:t>
      </w:r>
    </w:p>
    <w:p w14:paraId="5C698424" w14:textId="6D210038" w:rsidR="00A01BDF" w:rsidRPr="001177AF" w:rsidRDefault="00A01BDF" w:rsidP="004D7775">
      <w:pPr>
        <w:rPr>
          <w:sz w:val="20"/>
          <w:szCs w:val="20"/>
          <w:lang w:val="en-US"/>
        </w:rPr>
      </w:pPr>
      <w:r w:rsidRPr="001177AF">
        <w:rPr>
          <w:rFonts w:eastAsiaTheme="minorHAnsi"/>
          <w:sz w:val="20"/>
          <w:szCs w:val="20"/>
          <w:lang w:val="en-US" w:eastAsia="en-US"/>
        </w:rPr>
        <w:t xml:space="preserve">Heinrich-Heine University </w:t>
      </w:r>
      <w:r w:rsidR="004D7775" w:rsidRPr="001177AF">
        <w:rPr>
          <w:rFonts w:eastAsiaTheme="minorHAnsi"/>
          <w:sz w:val="20"/>
          <w:szCs w:val="20"/>
          <w:lang w:val="en-US" w:eastAsia="en-US"/>
        </w:rPr>
        <w:t>Düsseldorf</w:t>
      </w:r>
      <w:r w:rsidRPr="001177AF">
        <w:rPr>
          <w:rFonts w:eastAsiaTheme="minorHAnsi"/>
          <w:sz w:val="20"/>
          <w:szCs w:val="20"/>
          <w:lang w:val="en-US" w:eastAsia="en-US"/>
        </w:rPr>
        <w:t>, 40225</w:t>
      </w:r>
    </w:p>
    <w:p w14:paraId="19BE171C" w14:textId="77777777" w:rsidR="00A01BDF" w:rsidRPr="001177AF" w:rsidRDefault="00A01BDF" w:rsidP="00A01BDF">
      <w:pPr>
        <w:rPr>
          <w:sz w:val="20"/>
          <w:szCs w:val="20"/>
          <w:lang w:val="en-US"/>
        </w:rPr>
      </w:pPr>
    </w:p>
    <w:p w14:paraId="1F0467A8" w14:textId="60E7FE4D" w:rsidR="00A01BDF" w:rsidRPr="001177AF" w:rsidRDefault="004D7775" w:rsidP="004D7775">
      <w:pPr>
        <w:rPr>
          <w:sz w:val="20"/>
          <w:szCs w:val="20"/>
          <w:lang w:val="en-US"/>
        </w:rPr>
      </w:pPr>
      <w:r w:rsidRPr="001177AF">
        <w:rPr>
          <w:rStyle w:val="apple-converted-space"/>
          <w:color w:val="333333"/>
          <w:sz w:val="20"/>
          <w:szCs w:val="20"/>
          <w:shd w:val="clear" w:color="auto" w:fill="FFFFFF"/>
          <w:lang w:val="en-US"/>
        </w:rPr>
        <w:t>Published in: </w:t>
      </w:r>
      <w:r w:rsidR="007372C3" w:rsidRPr="001177AF">
        <w:rPr>
          <w:rStyle w:val="Emphasis"/>
          <w:i w:val="0"/>
          <w:iCs w:val="0"/>
          <w:color w:val="222222"/>
          <w:sz w:val="20"/>
          <w:szCs w:val="20"/>
          <w:lang w:val="en-US"/>
        </w:rPr>
        <w:t>Sensors</w:t>
      </w:r>
      <w:r w:rsidR="007372C3" w:rsidRPr="001177AF">
        <w:rPr>
          <w:rStyle w:val="apple-converted-space"/>
          <w:color w:val="222222"/>
          <w:sz w:val="20"/>
          <w:szCs w:val="20"/>
          <w:lang w:val="en-US"/>
        </w:rPr>
        <w:t> </w:t>
      </w:r>
      <w:r w:rsidR="007372C3" w:rsidRPr="001177AF">
        <w:rPr>
          <w:sz w:val="20"/>
          <w:szCs w:val="20"/>
          <w:lang w:val="en-US"/>
        </w:rPr>
        <w:t>2022,</w:t>
      </w:r>
      <w:r w:rsidR="007372C3" w:rsidRPr="001177AF">
        <w:rPr>
          <w:rStyle w:val="apple-converted-space"/>
          <w:color w:val="222222"/>
          <w:sz w:val="20"/>
          <w:szCs w:val="20"/>
          <w:lang w:val="en-US"/>
        </w:rPr>
        <w:t> </w:t>
      </w:r>
      <w:r w:rsidR="007372C3" w:rsidRPr="001177AF">
        <w:rPr>
          <w:rStyle w:val="Emphasis"/>
          <w:i w:val="0"/>
          <w:iCs w:val="0"/>
          <w:color w:val="222222"/>
          <w:sz w:val="20"/>
          <w:szCs w:val="20"/>
          <w:lang w:val="en-US"/>
        </w:rPr>
        <w:t>22</w:t>
      </w:r>
      <w:r w:rsidR="007372C3" w:rsidRPr="001177AF">
        <w:rPr>
          <w:sz w:val="20"/>
          <w:szCs w:val="20"/>
          <w:lang w:val="en-US"/>
        </w:rPr>
        <w:t xml:space="preserve">(13), </w:t>
      </w:r>
      <w:r w:rsidRPr="001177AF">
        <w:rPr>
          <w:sz w:val="20"/>
          <w:szCs w:val="20"/>
          <w:lang w:val="en-US"/>
        </w:rPr>
        <w:t>4975.</w:t>
      </w:r>
      <w:r w:rsidR="00A01BDF" w:rsidRPr="001177AF">
        <w:rPr>
          <w:sz w:val="20"/>
          <w:szCs w:val="20"/>
          <w:lang w:val="en-US"/>
        </w:rPr>
        <w:t xml:space="preserve"> </w:t>
      </w:r>
    </w:p>
    <w:p w14:paraId="3C311D05" w14:textId="77777777" w:rsidR="00A01BDF" w:rsidRPr="001177AF" w:rsidRDefault="00000000" w:rsidP="004D7775">
      <w:pPr>
        <w:rPr>
          <w:sz w:val="20"/>
          <w:szCs w:val="20"/>
          <w:lang w:val="en-GB"/>
        </w:rPr>
      </w:pPr>
      <w:hyperlink r:id="rId25" w:history="1">
        <w:r w:rsidR="00A01BDF" w:rsidRPr="001177AF">
          <w:rPr>
            <w:rStyle w:val="Hyperlink"/>
            <w:sz w:val="20"/>
            <w:szCs w:val="20"/>
            <w:lang w:val="en-GB"/>
          </w:rPr>
          <w:t>https://doi.org/10.3390/s22134975</w:t>
        </w:r>
      </w:hyperlink>
      <w:r w:rsidR="00A01BDF" w:rsidRPr="001177AF">
        <w:rPr>
          <w:sz w:val="20"/>
          <w:szCs w:val="20"/>
          <w:lang w:val="en-GB"/>
        </w:rPr>
        <w:t xml:space="preserve"> </w:t>
      </w:r>
    </w:p>
    <w:p w14:paraId="1A8505B5" w14:textId="0814D441" w:rsidR="00A01BDF" w:rsidRPr="001177AF" w:rsidRDefault="00A01BDF" w:rsidP="00A01BDF">
      <w:pPr>
        <w:rPr>
          <w:lang w:val="en-GB"/>
        </w:rPr>
      </w:pPr>
    </w:p>
    <w:p w14:paraId="11534861" w14:textId="77777777" w:rsidR="009A0DA0" w:rsidRPr="001177AF" w:rsidRDefault="009A0DA0" w:rsidP="00A01BDF">
      <w:pPr>
        <w:rPr>
          <w:lang w:val="en-GB"/>
        </w:rPr>
      </w:pPr>
    </w:p>
    <w:p w14:paraId="03A43B5A" w14:textId="77777777" w:rsidR="00A01BDF" w:rsidRPr="001177AF" w:rsidRDefault="00A01BDF" w:rsidP="00A01BDF">
      <w:pPr>
        <w:pStyle w:val="NormalWeb"/>
        <w:rPr>
          <w:b/>
          <w:bCs/>
          <w:lang w:val="en-GB"/>
        </w:rPr>
      </w:pPr>
      <w:r w:rsidRPr="001177AF">
        <w:rPr>
          <w:b/>
          <w:bCs/>
          <w:lang w:val="en-GB"/>
        </w:rPr>
        <w:t xml:space="preserve">Own contributions </w:t>
      </w:r>
    </w:p>
    <w:p w14:paraId="629F64FA" w14:textId="77777777" w:rsidR="000C0380" w:rsidRPr="00F53265" w:rsidRDefault="00A01BDF" w:rsidP="00941A19">
      <w:pPr>
        <w:pStyle w:val="NormalWeb"/>
        <w:rPr>
          <w:sz w:val="20"/>
          <w:szCs w:val="20"/>
        </w:rPr>
        <w:sectPr w:rsidR="000C0380" w:rsidRPr="00F53265" w:rsidSect="00637D61">
          <w:footerReference w:type="default" r:id="rId26"/>
          <w:pgSz w:w="11906" w:h="16838"/>
          <w:pgMar w:top="1418" w:right="1418" w:bottom="1418" w:left="1985" w:header="709" w:footer="709" w:gutter="0"/>
          <w:pgNumType w:start="10"/>
          <w:cols w:space="708"/>
          <w:docGrid w:linePitch="360"/>
        </w:sectPr>
      </w:pPr>
      <w:r w:rsidRPr="00F53265">
        <w:rPr>
          <w:color w:val="282828"/>
          <w:sz w:val="20"/>
          <w:szCs w:val="20"/>
          <w:lang w:val="en-GB"/>
        </w:rPr>
        <w:t xml:space="preserve">Development of the </w:t>
      </w:r>
      <w:r w:rsidR="00816F40" w:rsidRPr="00F53265">
        <w:rPr>
          <w:color w:val="282828"/>
          <w:sz w:val="20"/>
          <w:szCs w:val="20"/>
          <w:lang w:val="en-GB"/>
        </w:rPr>
        <w:t>Android-based</w:t>
      </w:r>
      <w:r w:rsidRPr="00F53265">
        <w:rPr>
          <w:color w:val="282828"/>
          <w:sz w:val="20"/>
          <w:szCs w:val="20"/>
          <w:lang w:val="en-GB"/>
        </w:rPr>
        <w:t xml:space="preserve"> application</w:t>
      </w:r>
      <w:r w:rsidR="003F361D" w:rsidRPr="00F53265">
        <w:rPr>
          <w:color w:val="282828"/>
          <w:sz w:val="20"/>
          <w:szCs w:val="20"/>
          <w:lang w:val="en-GB"/>
        </w:rPr>
        <w:t>. Contributing to analysis and feature extraction from smartphone data</w:t>
      </w:r>
      <w:r w:rsidR="002615AC" w:rsidRPr="00F53265">
        <w:rPr>
          <w:color w:val="282828"/>
          <w:sz w:val="20"/>
          <w:szCs w:val="20"/>
          <w:lang w:val="en-GB"/>
        </w:rPr>
        <w:t xml:space="preserve"> and statistical data analysis and contributing to the interpretation of results. </w:t>
      </w:r>
      <w:r w:rsidR="002615AC" w:rsidRPr="00F53265">
        <w:rPr>
          <w:sz w:val="20"/>
          <w:szCs w:val="20"/>
        </w:rPr>
        <w:t xml:space="preserve">Total contribution </w:t>
      </w:r>
      <w:r w:rsidR="00920EA3" w:rsidRPr="00F53265">
        <w:rPr>
          <w:sz w:val="20"/>
          <w:szCs w:val="20"/>
          <w:lang w:val="en-US"/>
        </w:rPr>
        <w:t>25</w:t>
      </w:r>
      <w:r w:rsidR="002615AC" w:rsidRPr="00F53265">
        <w:rPr>
          <w:sz w:val="20"/>
          <w:szCs w:val="20"/>
        </w:rPr>
        <w:t xml:space="preserve">% </w:t>
      </w:r>
    </w:p>
    <w:p w14:paraId="79E16E01" w14:textId="2883003B" w:rsidR="00A01BDF" w:rsidRPr="001177AF" w:rsidRDefault="00A01BDF" w:rsidP="00941A19">
      <w:pPr>
        <w:pStyle w:val="NormalWeb"/>
        <w:rPr>
          <w:sz w:val="18"/>
          <w:szCs w:val="18"/>
        </w:rPr>
      </w:pPr>
    </w:p>
    <w:p w14:paraId="24495169" w14:textId="1A3E653A" w:rsidR="003969A4" w:rsidRPr="001177AF" w:rsidRDefault="003969A4">
      <w:pPr>
        <w:rPr>
          <w:color w:val="282828"/>
          <w:sz w:val="23"/>
          <w:szCs w:val="23"/>
          <w:lang w:val="en-GB"/>
        </w:rPr>
      </w:pPr>
      <w:r w:rsidRPr="001177AF">
        <w:rPr>
          <w:noProof/>
          <w:color w:val="282828"/>
          <w:sz w:val="23"/>
          <w:szCs w:val="23"/>
          <w:lang w:val="en-GB"/>
        </w:rPr>
        <w:drawing>
          <wp:inline distT="0" distB="0" distL="0" distR="0" wp14:anchorId="7AD3024F" wp14:editId="091F1EEC">
            <wp:extent cx="5399405" cy="76409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24591887" w14:textId="77777777" w:rsidR="00AF31C2" w:rsidRPr="001177AF" w:rsidRDefault="00AF31C2">
      <w:pPr>
        <w:rPr>
          <w:color w:val="282828"/>
          <w:sz w:val="23"/>
          <w:szCs w:val="23"/>
          <w:lang w:val="en-GB"/>
        </w:rPr>
      </w:pPr>
    </w:p>
    <w:p w14:paraId="20D1FA1A" w14:textId="77777777" w:rsidR="00AF31C2" w:rsidRPr="001177AF" w:rsidRDefault="00AF31C2">
      <w:pPr>
        <w:rPr>
          <w:color w:val="282828"/>
          <w:sz w:val="23"/>
          <w:szCs w:val="23"/>
          <w:lang w:val="en-GB"/>
        </w:rPr>
      </w:pPr>
    </w:p>
    <w:p w14:paraId="73900785"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6245561E" wp14:editId="625F05F4">
            <wp:extent cx="5399405" cy="76409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C10FD42" w14:textId="6729C339" w:rsidR="003969A4" w:rsidRPr="001177AF" w:rsidRDefault="003969A4">
      <w:pPr>
        <w:rPr>
          <w:color w:val="282828"/>
          <w:sz w:val="23"/>
          <w:szCs w:val="23"/>
          <w:lang w:val="en-GB"/>
        </w:rPr>
      </w:pPr>
      <w:r w:rsidRPr="001177AF">
        <w:rPr>
          <w:color w:val="282828"/>
          <w:sz w:val="23"/>
          <w:szCs w:val="23"/>
          <w:lang w:val="en-GB"/>
        </w:rPr>
        <w:br w:type="page"/>
      </w:r>
      <w:r w:rsidRPr="001177AF">
        <w:rPr>
          <w:noProof/>
          <w:color w:val="282828"/>
          <w:sz w:val="23"/>
          <w:szCs w:val="23"/>
          <w:lang w:val="en-GB"/>
        </w:rPr>
        <w:lastRenderedPageBreak/>
        <w:drawing>
          <wp:inline distT="0" distB="0" distL="0" distR="0" wp14:anchorId="48335FA9" wp14:editId="1FC5C725">
            <wp:extent cx="5399405" cy="76409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187D4869" w14:textId="22E82662"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3F155378" wp14:editId="6D3E9E0F">
            <wp:extent cx="5399405" cy="7640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12F70ABB" w14:textId="47D07865"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23A783AC" wp14:editId="5A82E4A2">
            <wp:extent cx="5399405" cy="7640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B2388F6" w14:textId="22CBE41E"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02FB1451" wp14:editId="28A1B832">
            <wp:extent cx="5399405" cy="76409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066CF4EA" w14:textId="442E7165"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44C112D2" wp14:editId="51738466">
            <wp:extent cx="5399405" cy="76409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AEFA256" w14:textId="774EB006"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20C3D1E3" wp14:editId="6CA6993D">
            <wp:extent cx="5399405" cy="76409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2B5E8EB7" w14:textId="77777777" w:rsidR="003969A4" w:rsidRPr="001177AF" w:rsidRDefault="003969A4">
      <w:pPr>
        <w:rPr>
          <w:color w:val="282828"/>
          <w:sz w:val="23"/>
          <w:szCs w:val="23"/>
          <w:lang w:val="en-GB"/>
        </w:rPr>
      </w:pPr>
    </w:p>
    <w:p w14:paraId="4D0687E8" w14:textId="77972BCC" w:rsidR="00A01BDF" w:rsidRPr="001177AF" w:rsidRDefault="003969A4" w:rsidP="00A01BDF">
      <w:pPr>
        <w:rPr>
          <w:color w:val="282828"/>
          <w:sz w:val="23"/>
          <w:szCs w:val="23"/>
          <w:lang w:val="en-GB"/>
        </w:rPr>
      </w:pPr>
      <w:r w:rsidRPr="001177AF">
        <w:rPr>
          <w:noProof/>
          <w:color w:val="282828"/>
          <w:sz w:val="23"/>
          <w:szCs w:val="23"/>
          <w:lang w:val="en-GB"/>
        </w:rPr>
        <w:lastRenderedPageBreak/>
        <w:drawing>
          <wp:inline distT="0" distB="0" distL="0" distR="0" wp14:anchorId="7D782F23" wp14:editId="11E74FF0">
            <wp:extent cx="5399405" cy="7640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10971CD9" w14:textId="5663F476" w:rsidR="003969A4" w:rsidRPr="001177AF" w:rsidRDefault="003969A4" w:rsidP="00A01BDF">
      <w:pPr>
        <w:rPr>
          <w:color w:val="282828"/>
          <w:sz w:val="23"/>
          <w:szCs w:val="23"/>
          <w:lang w:val="en-GB"/>
        </w:rPr>
      </w:pPr>
      <w:r w:rsidRPr="001177AF">
        <w:rPr>
          <w:noProof/>
          <w:color w:val="282828"/>
          <w:sz w:val="23"/>
          <w:szCs w:val="23"/>
          <w:lang w:val="en-GB"/>
        </w:rPr>
        <w:lastRenderedPageBreak/>
        <w:drawing>
          <wp:inline distT="0" distB="0" distL="0" distR="0" wp14:anchorId="53A62C8E" wp14:editId="19EFE2BB">
            <wp:extent cx="5399405" cy="76409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625C676"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2A07B89A" wp14:editId="66524E32">
            <wp:extent cx="5399405" cy="76409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59ADAF94"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4675859B" wp14:editId="419F4CA4">
            <wp:extent cx="5399405" cy="76409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D121207" w14:textId="6406D2FF"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4470D0B1" wp14:editId="26D10B61">
            <wp:extent cx="5399405" cy="76409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0574934B" w14:textId="1BC9E6B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2BA4AC29" wp14:editId="66138484">
            <wp:extent cx="5399405" cy="76409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28EF82F0"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34BCC95F" wp14:editId="3AEDEBCC">
            <wp:extent cx="5399405" cy="76409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2E2D705B" w14:textId="77777777" w:rsidR="003969A4" w:rsidRPr="001177AF" w:rsidRDefault="003969A4">
      <w:pPr>
        <w:rPr>
          <w:color w:val="282828"/>
          <w:sz w:val="23"/>
          <w:szCs w:val="23"/>
          <w:lang w:val="en-GB"/>
        </w:rPr>
      </w:pPr>
    </w:p>
    <w:p w14:paraId="56C43D26"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46D4B512" wp14:editId="582DA8BB">
            <wp:extent cx="5399405" cy="76409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505B699" w14:textId="77777777" w:rsidR="003969A4" w:rsidRPr="001177AF" w:rsidRDefault="003969A4">
      <w:pPr>
        <w:rPr>
          <w:color w:val="282828"/>
          <w:sz w:val="23"/>
          <w:szCs w:val="23"/>
          <w:lang w:val="en-GB"/>
        </w:rPr>
      </w:pPr>
    </w:p>
    <w:p w14:paraId="76023710"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215D3405" wp14:editId="65F45F91">
            <wp:extent cx="5399405" cy="76409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0B52B184" w14:textId="77777777" w:rsidR="003969A4" w:rsidRPr="001177AF" w:rsidRDefault="003969A4">
      <w:pPr>
        <w:rPr>
          <w:color w:val="282828"/>
          <w:sz w:val="23"/>
          <w:szCs w:val="23"/>
          <w:lang w:val="en-GB"/>
        </w:rPr>
      </w:pPr>
    </w:p>
    <w:p w14:paraId="4401AC6C" w14:textId="77777777" w:rsidR="003969A4" w:rsidRPr="001177AF" w:rsidRDefault="003969A4">
      <w:pPr>
        <w:rPr>
          <w:color w:val="282828"/>
          <w:sz w:val="23"/>
          <w:szCs w:val="23"/>
          <w:lang w:val="en-GB"/>
        </w:rPr>
      </w:pPr>
      <w:r w:rsidRPr="001177AF">
        <w:rPr>
          <w:noProof/>
          <w:color w:val="282828"/>
          <w:sz w:val="23"/>
          <w:szCs w:val="23"/>
          <w:lang w:val="en-GB"/>
        </w:rPr>
        <w:lastRenderedPageBreak/>
        <w:drawing>
          <wp:inline distT="0" distB="0" distL="0" distR="0" wp14:anchorId="7949634F" wp14:editId="467679D8">
            <wp:extent cx="5399405" cy="76409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6DC96FE" w14:textId="77777777" w:rsidR="003969A4" w:rsidRPr="001177AF" w:rsidRDefault="003969A4">
      <w:pPr>
        <w:rPr>
          <w:color w:val="282828"/>
          <w:sz w:val="23"/>
          <w:szCs w:val="23"/>
          <w:lang w:val="en-GB"/>
        </w:rPr>
      </w:pPr>
    </w:p>
    <w:p w14:paraId="5C80A711" w14:textId="6B967E66" w:rsidR="003969A4"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0620994D" wp14:editId="6BDE156D">
            <wp:extent cx="5399405" cy="76409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6E28D759" w14:textId="77777777" w:rsidR="003969A4" w:rsidRPr="001177AF" w:rsidRDefault="003969A4">
      <w:pPr>
        <w:rPr>
          <w:color w:val="282828"/>
          <w:sz w:val="23"/>
          <w:szCs w:val="23"/>
          <w:lang w:val="en-GB"/>
        </w:rPr>
      </w:pPr>
    </w:p>
    <w:p w14:paraId="1F8ABCA8" w14:textId="77777777" w:rsidR="00BA337D" w:rsidRPr="001177AF" w:rsidRDefault="00BA337D">
      <w:pPr>
        <w:rPr>
          <w:color w:val="282828"/>
          <w:sz w:val="23"/>
          <w:szCs w:val="23"/>
          <w:lang w:val="en-GB"/>
        </w:rPr>
      </w:pPr>
    </w:p>
    <w:p w14:paraId="5CADAAD2" w14:textId="77777777" w:rsidR="003969A4" w:rsidRPr="001177AF" w:rsidRDefault="003969A4" w:rsidP="00A01BDF">
      <w:pPr>
        <w:rPr>
          <w:color w:val="282828"/>
          <w:sz w:val="23"/>
          <w:szCs w:val="23"/>
          <w:lang w:val="en-GB"/>
        </w:rPr>
      </w:pPr>
    </w:p>
    <w:p w14:paraId="1E41BEC3" w14:textId="1B2088F2" w:rsidR="003969A4" w:rsidRPr="001177AF" w:rsidRDefault="00BA337D" w:rsidP="00A01BDF">
      <w:pPr>
        <w:rPr>
          <w:color w:val="282828"/>
          <w:sz w:val="23"/>
          <w:szCs w:val="23"/>
          <w:lang w:val="en-GB"/>
        </w:rPr>
      </w:pPr>
      <w:r w:rsidRPr="001177AF">
        <w:rPr>
          <w:noProof/>
          <w:color w:val="282828"/>
          <w:sz w:val="23"/>
          <w:szCs w:val="23"/>
          <w:lang w:val="en-GB"/>
        </w:rPr>
        <w:lastRenderedPageBreak/>
        <w:drawing>
          <wp:inline distT="0" distB="0" distL="0" distR="0" wp14:anchorId="4A325CC4" wp14:editId="7FAC4174">
            <wp:extent cx="5399405" cy="76409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4967961" w14:textId="77777777"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31831672" wp14:editId="73833CF8">
            <wp:extent cx="5399405" cy="76409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6B8A5F0" w14:textId="77777777"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076C6B2B" wp14:editId="31B5C9D0">
            <wp:extent cx="5399405" cy="76409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1AE00327" w14:textId="6F49F49F"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033A5786" wp14:editId="5118CE7C">
            <wp:extent cx="5399405" cy="76409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507A533F" w14:textId="77777777" w:rsidR="00BA337D" w:rsidRPr="001177AF" w:rsidRDefault="00BA337D">
      <w:pPr>
        <w:rPr>
          <w:color w:val="282828"/>
          <w:sz w:val="23"/>
          <w:szCs w:val="23"/>
          <w:lang w:val="en-GB"/>
        </w:rPr>
      </w:pPr>
    </w:p>
    <w:p w14:paraId="37B19178" w14:textId="77777777" w:rsidR="00BA337D" w:rsidRPr="001177AF" w:rsidRDefault="00BA337D">
      <w:pPr>
        <w:rPr>
          <w:color w:val="282828"/>
          <w:sz w:val="23"/>
          <w:szCs w:val="23"/>
          <w:lang w:val="en-GB"/>
        </w:rPr>
      </w:pPr>
    </w:p>
    <w:p w14:paraId="01BFE86C" w14:textId="0046136C"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43264F2F" wp14:editId="1B63C644">
            <wp:extent cx="5399405" cy="76409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611F3CB5" w14:textId="77777777" w:rsidR="00BA337D" w:rsidRPr="001177AF" w:rsidRDefault="00BA337D">
      <w:pPr>
        <w:rPr>
          <w:color w:val="282828"/>
          <w:sz w:val="23"/>
          <w:szCs w:val="23"/>
          <w:lang w:val="en-GB"/>
        </w:rPr>
      </w:pPr>
    </w:p>
    <w:p w14:paraId="5C084CE6" w14:textId="77777777"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3F3C5230" wp14:editId="1AEB3E9A">
            <wp:extent cx="5399405" cy="76409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058D25F" w14:textId="77777777"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2D188D8C" wp14:editId="40C337DA">
            <wp:extent cx="5399405" cy="76409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3D8F4A4D" w14:textId="77777777" w:rsidR="00BA337D" w:rsidRPr="001177AF" w:rsidRDefault="00BA337D">
      <w:pPr>
        <w:rPr>
          <w:color w:val="282828"/>
          <w:sz w:val="23"/>
          <w:szCs w:val="23"/>
          <w:lang w:val="en-GB"/>
        </w:rPr>
      </w:pPr>
    </w:p>
    <w:p w14:paraId="60088EDB" w14:textId="51995B81"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7EF86FAB" wp14:editId="4D637313">
            <wp:extent cx="5399405" cy="76409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40CF397D" w14:textId="77777777" w:rsidR="00BA337D" w:rsidRPr="001177AF" w:rsidRDefault="00BA337D">
      <w:pPr>
        <w:rPr>
          <w:color w:val="282828"/>
          <w:sz w:val="23"/>
          <w:szCs w:val="23"/>
          <w:lang w:val="en-GB"/>
        </w:rPr>
      </w:pPr>
    </w:p>
    <w:p w14:paraId="62375DD1" w14:textId="3B4D4F03" w:rsidR="00BA337D" w:rsidRPr="001177AF" w:rsidRDefault="00BA337D">
      <w:pPr>
        <w:rPr>
          <w:color w:val="282828"/>
          <w:sz w:val="23"/>
          <w:szCs w:val="23"/>
          <w:lang w:val="en-GB"/>
        </w:rPr>
      </w:pPr>
      <w:r w:rsidRPr="001177AF">
        <w:rPr>
          <w:noProof/>
          <w:color w:val="282828"/>
          <w:sz w:val="23"/>
          <w:szCs w:val="23"/>
          <w:lang w:val="en-GB"/>
        </w:rPr>
        <w:lastRenderedPageBreak/>
        <w:drawing>
          <wp:inline distT="0" distB="0" distL="0" distR="0" wp14:anchorId="1FDD0A1F" wp14:editId="7724C6E6">
            <wp:extent cx="5399405" cy="76409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57357B56" w14:textId="77777777" w:rsidR="00AF31C2" w:rsidRPr="001177AF" w:rsidRDefault="00AF31C2">
      <w:pPr>
        <w:rPr>
          <w:color w:val="282828"/>
          <w:sz w:val="23"/>
          <w:szCs w:val="23"/>
          <w:lang w:val="en-GB"/>
        </w:rPr>
        <w:sectPr w:rsidR="00AF31C2" w:rsidRPr="001177AF" w:rsidSect="00950F2E">
          <w:footerReference w:type="default" r:id="rId55"/>
          <w:pgSz w:w="11906" w:h="16838"/>
          <w:pgMar w:top="1418" w:right="1418" w:bottom="1418" w:left="1985" w:header="709" w:footer="709" w:gutter="0"/>
          <w:pgNumType w:start="1"/>
          <w:cols w:space="708"/>
          <w:docGrid w:linePitch="360"/>
        </w:sectPr>
      </w:pPr>
      <w:r w:rsidRPr="001177AF">
        <w:rPr>
          <w:color w:val="282828"/>
          <w:sz w:val="23"/>
          <w:szCs w:val="23"/>
          <w:lang w:val="en-GB"/>
        </w:rPr>
        <w:br w:type="page"/>
      </w:r>
    </w:p>
    <w:p w14:paraId="6E5D384C" w14:textId="22FF2032" w:rsidR="00AF31C2" w:rsidRPr="001177AF" w:rsidRDefault="00AF31C2">
      <w:pPr>
        <w:rPr>
          <w:color w:val="282828"/>
          <w:sz w:val="23"/>
          <w:szCs w:val="23"/>
          <w:lang w:val="en-GB"/>
        </w:rPr>
      </w:pPr>
    </w:p>
    <w:p w14:paraId="3082DF34" w14:textId="77777777" w:rsidR="00BA337D" w:rsidRPr="001177AF" w:rsidRDefault="00BA337D" w:rsidP="00A01BDF">
      <w:pPr>
        <w:rPr>
          <w:color w:val="282828"/>
          <w:sz w:val="23"/>
          <w:szCs w:val="23"/>
          <w:lang w:val="en-GB"/>
        </w:rPr>
      </w:pPr>
    </w:p>
    <w:p w14:paraId="1FD3A3BD" w14:textId="58EF4C0E" w:rsidR="003F361D" w:rsidRPr="001177AF" w:rsidRDefault="009247E2" w:rsidP="004D7775">
      <w:pPr>
        <w:pStyle w:val="Heading2"/>
        <w:jc w:val="both"/>
        <w:rPr>
          <w:lang w:val="en-GB"/>
        </w:rPr>
      </w:pPr>
      <w:bookmarkStart w:id="34" w:name="_Toc132365734"/>
      <w:r w:rsidRPr="001177AF">
        <w:rPr>
          <w:lang w:val="en-GB"/>
        </w:rPr>
        <w:t>Paper</w:t>
      </w:r>
      <w:r w:rsidR="00542C22" w:rsidRPr="001177AF">
        <w:rPr>
          <w:lang w:val="en-GB"/>
        </w:rPr>
        <w:t>3: Exploring</w:t>
      </w:r>
      <w:r w:rsidR="00C84BB9" w:rsidRPr="001177AF">
        <w:rPr>
          <w:lang w:val="en-GB"/>
        </w:rPr>
        <w:t xml:space="preserve"> Test-Retest Reliability and Longitudinal Stability of Digital Biomarkers for </w:t>
      </w:r>
      <w:r w:rsidR="004E0CB0" w:rsidRPr="001177AF">
        <w:rPr>
          <w:lang w:val="en-GB"/>
        </w:rPr>
        <w:t>Parkinson's</w:t>
      </w:r>
      <w:r w:rsidR="00C84BB9" w:rsidRPr="001177AF">
        <w:rPr>
          <w:lang w:val="en-GB"/>
        </w:rPr>
        <w:t xml:space="preserve"> Disease in the m-Power Data Set: Cohort Study</w:t>
      </w:r>
      <w:bookmarkEnd w:id="34"/>
    </w:p>
    <w:p w14:paraId="2180B6C6" w14:textId="48526853" w:rsidR="00A01BDF" w:rsidRPr="001177AF" w:rsidRDefault="007372C3" w:rsidP="009A0DA0">
      <w:pPr>
        <w:jc w:val="center"/>
        <w:rPr>
          <w:lang w:val="en-GB"/>
        </w:rPr>
      </w:pPr>
      <w:r w:rsidRPr="001177AF">
        <w:rPr>
          <w:lang w:val="en-GB"/>
        </w:rPr>
        <w:t>Mehran Sahandi Far</w:t>
      </w:r>
      <w:r w:rsidRPr="001177AF">
        <w:rPr>
          <w:position w:val="10"/>
          <w:sz w:val="14"/>
          <w:szCs w:val="14"/>
          <w:lang w:val="en-GB"/>
        </w:rPr>
        <w:t>1,2</w:t>
      </w:r>
      <w:r w:rsidRPr="001177AF">
        <w:rPr>
          <w:lang w:val="en-GB"/>
        </w:rPr>
        <w:t>, Simon B Eickhoff</w:t>
      </w:r>
      <w:r w:rsidRPr="001177AF">
        <w:rPr>
          <w:position w:val="10"/>
          <w:sz w:val="14"/>
          <w:szCs w:val="14"/>
          <w:lang w:val="en-GB"/>
        </w:rPr>
        <w:t>1,2</w:t>
      </w:r>
      <w:r w:rsidRPr="001177AF">
        <w:rPr>
          <w:lang w:val="en-GB"/>
        </w:rPr>
        <w:t xml:space="preserve">, Maria </w:t>
      </w:r>
      <w:proofErr w:type="spellStart"/>
      <w:r w:rsidRPr="001177AF">
        <w:rPr>
          <w:lang w:val="en-GB"/>
        </w:rPr>
        <w:t>Goni</w:t>
      </w:r>
      <w:proofErr w:type="spellEnd"/>
      <w:r w:rsidRPr="001177AF">
        <w:rPr>
          <w:position w:val="10"/>
          <w:sz w:val="14"/>
          <w:szCs w:val="14"/>
          <w:lang w:val="en-GB"/>
        </w:rPr>
        <w:t>1,2*</w:t>
      </w:r>
      <w:r w:rsidRPr="001177AF">
        <w:rPr>
          <w:lang w:val="en-GB"/>
        </w:rPr>
        <w:t xml:space="preserve">, Juergen </w:t>
      </w:r>
      <w:proofErr w:type="spellStart"/>
      <w:r w:rsidRPr="001177AF">
        <w:rPr>
          <w:lang w:val="en-GB"/>
        </w:rPr>
        <w:t>Dukart</w:t>
      </w:r>
      <w:proofErr w:type="spellEnd"/>
      <w:r w:rsidRPr="001177AF">
        <w:rPr>
          <w:position w:val="10"/>
          <w:sz w:val="14"/>
          <w:szCs w:val="14"/>
          <w:lang w:val="en-GB"/>
        </w:rPr>
        <w:t>1,2</w:t>
      </w:r>
    </w:p>
    <w:p w14:paraId="1C7911B2" w14:textId="6BA88F76" w:rsidR="009A0DA0" w:rsidRPr="001177AF" w:rsidRDefault="009A0DA0" w:rsidP="009A0DA0">
      <w:pPr>
        <w:jc w:val="center"/>
        <w:rPr>
          <w:lang w:val="en-GB"/>
        </w:rPr>
      </w:pPr>
    </w:p>
    <w:p w14:paraId="3C948BBE" w14:textId="29C1C4D4" w:rsidR="009A0DA0" w:rsidRPr="001177AF" w:rsidRDefault="009A0DA0" w:rsidP="009A0DA0">
      <w:pPr>
        <w:jc w:val="center"/>
        <w:rPr>
          <w:lang w:val="en-GB"/>
        </w:rPr>
      </w:pPr>
    </w:p>
    <w:p w14:paraId="09A8B377" w14:textId="77777777" w:rsidR="009A0DA0" w:rsidRPr="001177AF" w:rsidRDefault="009A0DA0" w:rsidP="009A0DA0">
      <w:pPr>
        <w:jc w:val="center"/>
        <w:rPr>
          <w:lang w:val="en-GB"/>
        </w:rPr>
      </w:pPr>
    </w:p>
    <w:p w14:paraId="65F5E330" w14:textId="726529E4" w:rsidR="00A01BDF" w:rsidRPr="001177AF" w:rsidRDefault="007372C3" w:rsidP="00920EA3">
      <w:pPr>
        <w:jc w:val="both"/>
        <w:rPr>
          <w:sz w:val="20"/>
          <w:szCs w:val="20"/>
          <w:lang w:val="en-GB"/>
        </w:rPr>
      </w:pPr>
      <w:r w:rsidRPr="001177AF">
        <w:rPr>
          <w:position w:val="8"/>
          <w:sz w:val="20"/>
          <w:szCs w:val="20"/>
          <w:lang w:val="en-GB"/>
        </w:rPr>
        <w:t>1</w:t>
      </w:r>
      <w:r w:rsidRPr="001177AF">
        <w:rPr>
          <w:sz w:val="20"/>
          <w:szCs w:val="20"/>
          <w:lang w:val="en-GB"/>
        </w:rPr>
        <w:t xml:space="preserve">Institute of Neuroscience and Medicine, Brain &amp; Behaviour (INM-7), Research Centre </w:t>
      </w:r>
      <w:r w:rsidR="0048465E" w:rsidRPr="001177AF">
        <w:rPr>
          <w:sz w:val="20"/>
          <w:szCs w:val="20"/>
          <w:lang w:val="en-GB"/>
        </w:rPr>
        <w:t>Jülich</w:t>
      </w:r>
      <w:r w:rsidRPr="001177AF">
        <w:rPr>
          <w:sz w:val="20"/>
          <w:szCs w:val="20"/>
          <w:lang w:val="en-GB"/>
        </w:rPr>
        <w:t xml:space="preserve">, </w:t>
      </w:r>
      <w:r w:rsidR="0048465E" w:rsidRPr="001177AF">
        <w:rPr>
          <w:sz w:val="20"/>
          <w:szCs w:val="20"/>
          <w:lang w:val="en-GB"/>
        </w:rPr>
        <w:t>Jülich</w:t>
      </w:r>
      <w:r w:rsidRPr="001177AF">
        <w:rPr>
          <w:sz w:val="20"/>
          <w:szCs w:val="20"/>
          <w:lang w:val="en-GB"/>
        </w:rPr>
        <w:t xml:space="preserve">, Germany </w:t>
      </w:r>
    </w:p>
    <w:p w14:paraId="7D241F1C" w14:textId="5EBCA43D" w:rsidR="00A01BDF" w:rsidRPr="001177AF" w:rsidRDefault="007372C3" w:rsidP="00920EA3">
      <w:pPr>
        <w:jc w:val="both"/>
        <w:rPr>
          <w:sz w:val="20"/>
          <w:szCs w:val="20"/>
          <w:lang w:val="en-GB"/>
        </w:rPr>
      </w:pPr>
      <w:r w:rsidRPr="001177AF">
        <w:rPr>
          <w:position w:val="8"/>
          <w:sz w:val="20"/>
          <w:szCs w:val="20"/>
          <w:lang w:val="en-GB"/>
        </w:rPr>
        <w:t>2</w:t>
      </w:r>
      <w:r w:rsidRPr="001177AF">
        <w:rPr>
          <w:sz w:val="20"/>
          <w:szCs w:val="20"/>
          <w:lang w:val="en-GB"/>
        </w:rPr>
        <w:t xml:space="preserve">Institute of Systems Neuroscience, Medical Faculty, Heinrich Heine University </w:t>
      </w:r>
      <w:r w:rsidR="0048465E" w:rsidRPr="001177AF">
        <w:rPr>
          <w:sz w:val="20"/>
          <w:szCs w:val="20"/>
          <w:lang w:val="en-GB"/>
        </w:rPr>
        <w:t>Düsseldorf</w:t>
      </w:r>
      <w:r w:rsidRPr="001177AF">
        <w:rPr>
          <w:sz w:val="20"/>
          <w:szCs w:val="20"/>
          <w:lang w:val="en-GB"/>
        </w:rPr>
        <w:t xml:space="preserve">, </w:t>
      </w:r>
      <w:r w:rsidR="0048465E" w:rsidRPr="001177AF">
        <w:rPr>
          <w:sz w:val="20"/>
          <w:szCs w:val="20"/>
          <w:lang w:val="en-GB"/>
        </w:rPr>
        <w:t>Düsseldorf</w:t>
      </w:r>
      <w:r w:rsidRPr="001177AF">
        <w:rPr>
          <w:sz w:val="20"/>
          <w:szCs w:val="20"/>
          <w:lang w:val="en-GB"/>
        </w:rPr>
        <w:t>, Germany</w:t>
      </w:r>
    </w:p>
    <w:p w14:paraId="63B30797" w14:textId="66370ADD" w:rsidR="009A0DA0" w:rsidRPr="001177AF" w:rsidRDefault="009A0DA0" w:rsidP="009A0DA0">
      <w:pPr>
        <w:rPr>
          <w:sz w:val="20"/>
          <w:szCs w:val="20"/>
          <w:lang w:val="en-GB"/>
        </w:rPr>
      </w:pPr>
    </w:p>
    <w:p w14:paraId="68A8A669" w14:textId="2904FA17" w:rsidR="009A0DA0" w:rsidRPr="001177AF" w:rsidRDefault="009A0DA0" w:rsidP="009A0DA0">
      <w:pPr>
        <w:rPr>
          <w:sz w:val="20"/>
          <w:szCs w:val="20"/>
          <w:lang w:val="en-GB"/>
        </w:rPr>
      </w:pPr>
    </w:p>
    <w:p w14:paraId="3EFB0611" w14:textId="77777777" w:rsidR="009A0DA0" w:rsidRPr="001177AF" w:rsidRDefault="009A0DA0" w:rsidP="009A0DA0">
      <w:pPr>
        <w:rPr>
          <w:sz w:val="20"/>
          <w:szCs w:val="20"/>
          <w:lang w:val="en-GB"/>
        </w:rPr>
      </w:pPr>
    </w:p>
    <w:p w14:paraId="4702B9B7" w14:textId="2786E5A1" w:rsidR="00A01BDF" w:rsidRPr="001177AF" w:rsidRDefault="00A01BDF" w:rsidP="00A01BDF">
      <w:pPr>
        <w:pStyle w:val="NormalWeb"/>
        <w:rPr>
          <w:sz w:val="36"/>
          <w:szCs w:val="36"/>
          <w:lang w:val="en-GB"/>
        </w:rPr>
      </w:pPr>
      <w:r w:rsidRPr="001177AF">
        <w:rPr>
          <w:b/>
          <w:bCs/>
          <w:lang w:val="en-GB"/>
        </w:rPr>
        <w:t xml:space="preserve">Corresponding Author: </w:t>
      </w:r>
    </w:p>
    <w:p w14:paraId="55A76B4A" w14:textId="77A5E46B" w:rsidR="00A01BDF" w:rsidRPr="001177AF" w:rsidRDefault="007372C3" w:rsidP="004D7775">
      <w:pPr>
        <w:rPr>
          <w:color w:val="0000FF"/>
          <w:sz w:val="20"/>
          <w:szCs w:val="20"/>
          <w:lang w:val="en-GB"/>
        </w:rPr>
      </w:pPr>
      <w:r w:rsidRPr="001177AF">
        <w:rPr>
          <w:sz w:val="20"/>
          <w:szCs w:val="20"/>
          <w:lang w:val="en-GB"/>
        </w:rPr>
        <w:t xml:space="preserve">Juergen </w:t>
      </w:r>
      <w:proofErr w:type="spellStart"/>
      <w:r w:rsidRPr="001177AF">
        <w:rPr>
          <w:sz w:val="20"/>
          <w:szCs w:val="20"/>
          <w:lang w:val="en-GB"/>
        </w:rPr>
        <w:t>Dukart</w:t>
      </w:r>
      <w:proofErr w:type="spellEnd"/>
      <w:r w:rsidRPr="001177AF">
        <w:rPr>
          <w:sz w:val="20"/>
          <w:szCs w:val="20"/>
          <w:lang w:val="en-GB"/>
        </w:rPr>
        <w:t>, PhD</w:t>
      </w:r>
      <w:r w:rsidRPr="001177AF">
        <w:rPr>
          <w:sz w:val="20"/>
          <w:szCs w:val="20"/>
          <w:lang w:val="en-GB"/>
        </w:rPr>
        <w:br/>
        <w:t xml:space="preserve">Institute of Neuroscience and Medicine, Brain &amp; Behaviour (INM-7) Research Centre </w:t>
      </w:r>
      <w:proofErr w:type="spellStart"/>
      <w:r w:rsidR="0048465E" w:rsidRPr="001177AF">
        <w:rPr>
          <w:sz w:val="20"/>
          <w:szCs w:val="20"/>
          <w:lang w:val="en-GB"/>
        </w:rPr>
        <w:t>Jülich</w:t>
      </w:r>
      <w:proofErr w:type="spellEnd"/>
      <w:r w:rsidRPr="001177AF">
        <w:rPr>
          <w:sz w:val="20"/>
          <w:szCs w:val="20"/>
          <w:lang w:val="en-GB"/>
        </w:rPr>
        <w:br/>
        <w:t>Wilhelm-</w:t>
      </w:r>
      <w:proofErr w:type="spellStart"/>
      <w:r w:rsidRPr="001177AF">
        <w:rPr>
          <w:sz w:val="20"/>
          <w:szCs w:val="20"/>
          <w:lang w:val="en-GB"/>
        </w:rPr>
        <w:t>Johnen</w:t>
      </w:r>
      <w:proofErr w:type="spellEnd"/>
      <w:r w:rsidRPr="001177AF">
        <w:rPr>
          <w:sz w:val="20"/>
          <w:szCs w:val="20"/>
          <w:lang w:val="en-GB"/>
        </w:rPr>
        <w:t>-Strasse</w:t>
      </w:r>
      <w:r w:rsidRPr="001177AF">
        <w:rPr>
          <w:sz w:val="20"/>
          <w:szCs w:val="20"/>
          <w:lang w:val="en-GB"/>
        </w:rPr>
        <w:br/>
      </w:r>
      <w:proofErr w:type="spellStart"/>
      <w:r w:rsidR="0048465E" w:rsidRPr="001177AF">
        <w:rPr>
          <w:sz w:val="20"/>
          <w:szCs w:val="20"/>
          <w:lang w:val="en-GB"/>
        </w:rPr>
        <w:t>Jülich</w:t>
      </w:r>
      <w:proofErr w:type="spellEnd"/>
      <w:r w:rsidRPr="001177AF">
        <w:rPr>
          <w:sz w:val="20"/>
          <w:szCs w:val="20"/>
          <w:lang w:val="en-GB"/>
        </w:rPr>
        <w:t>, 52425</w:t>
      </w:r>
      <w:r w:rsidRPr="001177AF">
        <w:rPr>
          <w:sz w:val="20"/>
          <w:szCs w:val="20"/>
          <w:lang w:val="en-GB"/>
        </w:rPr>
        <w:br/>
        <w:t>Germany</w:t>
      </w:r>
      <w:r w:rsidRPr="001177AF">
        <w:rPr>
          <w:sz w:val="20"/>
          <w:szCs w:val="20"/>
          <w:lang w:val="en-GB"/>
        </w:rPr>
        <w:br/>
        <w:t>Phone: 49 1632874330</w:t>
      </w:r>
      <w:r w:rsidRPr="001177AF">
        <w:rPr>
          <w:sz w:val="20"/>
          <w:szCs w:val="20"/>
          <w:lang w:val="en-GB"/>
        </w:rPr>
        <w:br/>
        <w:t>Fax: 49 2461611880</w:t>
      </w:r>
      <w:r w:rsidRPr="001177AF">
        <w:rPr>
          <w:sz w:val="20"/>
          <w:szCs w:val="20"/>
          <w:lang w:val="en-GB"/>
        </w:rPr>
        <w:br/>
        <w:t xml:space="preserve">Email: </w:t>
      </w:r>
      <w:r w:rsidRPr="001177AF">
        <w:rPr>
          <w:color w:val="0000FF"/>
          <w:sz w:val="20"/>
          <w:szCs w:val="20"/>
          <w:lang w:val="en-GB"/>
        </w:rPr>
        <w:t xml:space="preserve">juergen.dukart@gmail.com </w:t>
      </w:r>
    </w:p>
    <w:p w14:paraId="4D6F2EDA" w14:textId="3ABC34AD" w:rsidR="009A0DA0" w:rsidRPr="001177AF" w:rsidRDefault="009A0DA0" w:rsidP="004D7775">
      <w:pPr>
        <w:rPr>
          <w:color w:val="0000FF"/>
          <w:sz w:val="20"/>
          <w:szCs w:val="20"/>
          <w:lang w:val="en-GB"/>
        </w:rPr>
      </w:pPr>
    </w:p>
    <w:p w14:paraId="613D95B4" w14:textId="3D535843" w:rsidR="009A0DA0" w:rsidRPr="001177AF" w:rsidRDefault="009A0DA0" w:rsidP="004D7775">
      <w:pPr>
        <w:rPr>
          <w:color w:val="0000FF"/>
          <w:sz w:val="20"/>
          <w:szCs w:val="20"/>
          <w:lang w:val="en-GB"/>
        </w:rPr>
      </w:pPr>
    </w:p>
    <w:p w14:paraId="416DE911" w14:textId="77777777" w:rsidR="009A0DA0" w:rsidRPr="001177AF" w:rsidRDefault="009A0DA0" w:rsidP="004D7775">
      <w:pPr>
        <w:rPr>
          <w:color w:val="0000FF"/>
          <w:sz w:val="20"/>
          <w:szCs w:val="20"/>
          <w:lang w:val="en-GB"/>
        </w:rPr>
      </w:pPr>
    </w:p>
    <w:p w14:paraId="764C23F7" w14:textId="7EF6C4AE" w:rsidR="007372C3" w:rsidRPr="001177AF" w:rsidRDefault="004D7775" w:rsidP="004D7775">
      <w:pPr>
        <w:rPr>
          <w:color w:val="212121"/>
          <w:lang w:val="en-GB"/>
        </w:rPr>
      </w:pPr>
      <w:r w:rsidRPr="001177AF">
        <w:rPr>
          <w:rStyle w:val="apple-converted-space"/>
          <w:color w:val="333333"/>
          <w:shd w:val="clear" w:color="auto" w:fill="FFFFFF"/>
          <w:lang w:val="en-GB"/>
        </w:rPr>
        <w:t>Published in: </w:t>
      </w:r>
      <w:r w:rsidRPr="001177AF">
        <w:rPr>
          <w:lang w:val="en-GB"/>
        </w:rPr>
        <w:t>Journal of Medical Internet Research</w:t>
      </w:r>
      <w:r w:rsidR="007372C3" w:rsidRPr="001177AF">
        <w:rPr>
          <w:color w:val="212121"/>
          <w:lang w:val="en-GB"/>
        </w:rPr>
        <w:t> 2021 Sep; 23(9): e26608. </w:t>
      </w:r>
    </w:p>
    <w:p w14:paraId="17BB8780" w14:textId="026D9DF5" w:rsidR="009A0DA0" w:rsidRPr="001177AF" w:rsidRDefault="00000000">
      <w:pPr>
        <w:rPr>
          <w:color w:val="212121"/>
          <w:lang w:val="en-GB"/>
        </w:rPr>
      </w:pPr>
      <w:hyperlink r:id="rId56" w:tgtFrame="_blank" w:history="1">
        <w:r w:rsidR="00A640A7" w:rsidRPr="001177AF">
          <w:rPr>
            <w:color w:val="4C2C92"/>
            <w:u w:val="single"/>
            <w:lang w:val="en-GB"/>
          </w:rPr>
          <w:t>https://doi.org/10.2196%2F26608</w:t>
        </w:r>
      </w:hyperlink>
    </w:p>
    <w:p w14:paraId="42517295" w14:textId="49A588E9" w:rsidR="009A0DA0" w:rsidRPr="001177AF" w:rsidRDefault="009A0DA0">
      <w:pPr>
        <w:rPr>
          <w:color w:val="212121"/>
          <w:lang w:val="en-GB"/>
        </w:rPr>
      </w:pPr>
    </w:p>
    <w:p w14:paraId="6E8227C3" w14:textId="123C4ADF" w:rsidR="009A0DA0" w:rsidRPr="001177AF" w:rsidRDefault="009A0DA0">
      <w:pPr>
        <w:rPr>
          <w:color w:val="212121"/>
          <w:lang w:val="en-GB"/>
        </w:rPr>
      </w:pPr>
    </w:p>
    <w:p w14:paraId="2E10F733" w14:textId="77777777" w:rsidR="009A0DA0" w:rsidRPr="001177AF" w:rsidRDefault="009A0DA0">
      <w:pPr>
        <w:rPr>
          <w:color w:val="212121"/>
          <w:lang w:val="en-GB"/>
        </w:rPr>
      </w:pPr>
    </w:p>
    <w:p w14:paraId="4897F428" w14:textId="77777777" w:rsidR="00A640A7" w:rsidRPr="001177AF" w:rsidRDefault="00A640A7" w:rsidP="00A640A7">
      <w:pPr>
        <w:pStyle w:val="NormalWeb"/>
        <w:rPr>
          <w:b/>
          <w:bCs/>
          <w:lang w:val="en-GB"/>
        </w:rPr>
      </w:pPr>
      <w:r w:rsidRPr="001177AF">
        <w:rPr>
          <w:b/>
          <w:bCs/>
          <w:lang w:val="en-GB"/>
        </w:rPr>
        <w:t xml:space="preserve">Own contributions </w:t>
      </w:r>
    </w:p>
    <w:p w14:paraId="077C116F" w14:textId="164D5B10" w:rsidR="008301E4" w:rsidRPr="00F53265" w:rsidRDefault="003F361D" w:rsidP="008301E4">
      <w:pPr>
        <w:pStyle w:val="NormalWeb"/>
        <w:rPr>
          <w:sz w:val="20"/>
          <w:szCs w:val="20"/>
        </w:rPr>
        <w:sectPr w:rsidR="008301E4" w:rsidRPr="00F53265" w:rsidSect="00637D61">
          <w:headerReference w:type="default" r:id="rId57"/>
          <w:footerReference w:type="default" r:id="rId58"/>
          <w:pgSz w:w="11906" w:h="16838"/>
          <w:pgMar w:top="1418" w:right="1418" w:bottom="1418" w:left="1985" w:header="709" w:footer="709" w:gutter="0"/>
          <w:pgNumType w:start="11"/>
          <w:cols w:space="708"/>
          <w:docGrid w:linePitch="360"/>
        </w:sectPr>
      </w:pPr>
      <w:r w:rsidRPr="00F53265">
        <w:rPr>
          <w:color w:val="282828"/>
          <w:sz w:val="20"/>
          <w:szCs w:val="20"/>
          <w:lang w:val="en-GB"/>
        </w:rPr>
        <w:t xml:space="preserve">Writing the manuscript, </w:t>
      </w:r>
      <w:r w:rsidR="002615AC" w:rsidRPr="00F53265">
        <w:rPr>
          <w:color w:val="282828"/>
          <w:sz w:val="20"/>
          <w:szCs w:val="20"/>
          <w:lang w:val="en-GB"/>
        </w:rPr>
        <w:t>preparing figures, contributing to</w:t>
      </w:r>
      <w:r w:rsidRPr="00F53265">
        <w:rPr>
          <w:color w:val="282828"/>
          <w:sz w:val="20"/>
          <w:szCs w:val="20"/>
          <w:lang w:val="en-GB"/>
        </w:rPr>
        <w:t xml:space="preserve"> </w:t>
      </w:r>
      <w:r w:rsidR="002615AC" w:rsidRPr="00F53265">
        <w:rPr>
          <w:color w:val="282828"/>
          <w:sz w:val="20"/>
          <w:szCs w:val="20"/>
          <w:lang w:val="en-GB"/>
        </w:rPr>
        <w:t xml:space="preserve">the </w:t>
      </w:r>
      <w:r w:rsidRPr="00F53265">
        <w:rPr>
          <w:color w:val="282828"/>
          <w:sz w:val="20"/>
          <w:szCs w:val="20"/>
          <w:lang w:val="en-GB"/>
        </w:rPr>
        <w:t xml:space="preserve">design of </w:t>
      </w:r>
      <w:r w:rsidR="002615AC" w:rsidRPr="00F53265">
        <w:rPr>
          <w:color w:val="282828"/>
          <w:sz w:val="20"/>
          <w:szCs w:val="20"/>
          <w:lang w:val="en-GB"/>
        </w:rPr>
        <w:t xml:space="preserve">the </w:t>
      </w:r>
      <w:r w:rsidRPr="00F53265">
        <w:rPr>
          <w:color w:val="282828"/>
          <w:sz w:val="20"/>
          <w:szCs w:val="20"/>
          <w:lang w:val="en-GB"/>
        </w:rPr>
        <w:t xml:space="preserve">experiment, </w:t>
      </w:r>
      <w:r w:rsidR="002615AC" w:rsidRPr="00F53265">
        <w:rPr>
          <w:color w:val="282828"/>
          <w:sz w:val="20"/>
          <w:szCs w:val="20"/>
          <w:lang w:val="en-GB"/>
        </w:rPr>
        <w:t xml:space="preserve">writing </w:t>
      </w:r>
      <w:r w:rsidRPr="00F53265">
        <w:rPr>
          <w:color w:val="282828"/>
          <w:sz w:val="20"/>
          <w:szCs w:val="20"/>
          <w:lang w:val="en-GB"/>
        </w:rPr>
        <w:t xml:space="preserve">analysis code, </w:t>
      </w:r>
      <w:r w:rsidR="002615AC" w:rsidRPr="00F53265">
        <w:rPr>
          <w:color w:val="282828"/>
          <w:sz w:val="20"/>
          <w:szCs w:val="20"/>
          <w:lang w:val="en-GB"/>
        </w:rPr>
        <w:t>s</w:t>
      </w:r>
      <w:r w:rsidRPr="00F53265">
        <w:rPr>
          <w:color w:val="282828"/>
          <w:sz w:val="20"/>
          <w:szCs w:val="20"/>
          <w:lang w:val="en-GB"/>
        </w:rPr>
        <w:t>tatistical data analysis</w:t>
      </w:r>
      <w:r w:rsidR="002615AC" w:rsidRPr="00F53265">
        <w:rPr>
          <w:color w:val="282828"/>
          <w:sz w:val="20"/>
          <w:szCs w:val="20"/>
          <w:lang w:val="en-GB"/>
        </w:rPr>
        <w:t>, and contributing to the i</w:t>
      </w:r>
      <w:r w:rsidRPr="00F53265">
        <w:rPr>
          <w:color w:val="282828"/>
          <w:sz w:val="20"/>
          <w:szCs w:val="20"/>
          <w:lang w:val="en-GB"/>
        </w:rPr>
        <w:t>nterpretation of results</w:t>
      </w:r>
      <w:r w:rsidR="002615AC" w:rsidRPr="00F53265">
        <w:rPr>
          <w:color w:val="282828"/>
          <w:sz w:val="20"/>
          <w:szCs w:val="20"/>
          <w:lang w:val="en-GB"/>
        </w:rPr>
        <w:t xml:space="preserve">. </w:t>
      </w:r>
      <w:r w:rsidR="002615AC" w:rsidRPr="00F53265">
        <w:rPr>
          <w:sz w:val="20"/>
          <w:szCs w:val="20"/>
        </w:rPr>
        <w:t>Total contribution 80%</w:t>
      </w:r>
    </w:p>
    <w:p w14:paraId="4B7C3081" w14:textId="31350643" w:rsidR="001177AF" w:rsidRPr="001177AF" w:rsidRDefault="00BA337D" w:rsidP="003F361D">
      <w:pPr>
        <w:rPr>
          <w:lang w:val="en-GB"/>
        </w:rPr>
      </w:pPr>
      <w:r w:rsidRPr="001177AF">
        <w:rPr>
          <w:noProof/>
          <w:lang w:val="en-GB"/>
        </w:rPr>
        <w:lastRenderedPageBreak/>
        <w:drawing>
          <wp:inline distT="0" distB="0" distL="0" distR="0" wp14:anchorId="287C14D1" wp14:editId="562449F9">
            <wp:extent cx="5399405" cy="76409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29EAEF99" wp14:editId="7BB9D6D9">
            <wp:extent cx="5399405" cy="76409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5A121C95" wp14:editId="3511CF7C">
            <wp:extent cx="5399405" cy="76409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6DF6A46B" wp14:editId="6917FD3F">
            <wp:extent cx="5399405" cy="76409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774F02DA" wp14:editId="2484359B">
            <wp:extent cx="5399405" cy="76409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4D5144DD" wp14:editId="009D08BB">
            <wp:extent cx="5399405" cy="76409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31F3DD72" wp14:editId="415CF9A0">
            <wp:extent cx="5399405" cy="76409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4733E3CC" wp14:editId="5D7DB98D">
            <wp:extent cx="5399405" cy="76409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2C03CD11" wp14:editId="3CE86B64">
            <wp:extent cx="5399405" cy="76409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33F99F8C" wp14:editId="4B6552E7">
            <wp:extent cx="5399405" cy="76409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594BDC91" wp14:editId="05A6D95A">
            <wp:extent cx="5399405" cy="76409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6507E784" wp14:editId="53A0E5C6">
            <wp:extent cx="5399405" cy="76409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49E26171" wp14:editId="6E99D24D">
            <wp:extent cx="5399405" cy="76409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654806EB" wp14:editId="339E212F">
            <wp:extent cx="5399405" cy="764095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noProof/>
          <w:lang w:val="en-GB"/>
        </w:rPr>
        <w:lastRenderedPageBreak/>
        <w:drawing>
          <wp:inline distT="0" distB="0" distL="0" distR="0" wp14:anchorId="4C3C3316" wp14:editId="375FF57D">
            <wp:extent cx="5399405" cy="76409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5EA712FB" w14:textId="410EF048" w:rsidR="007372C3" w:rsidRPr="001177AF" w:rsidRDefault="001177AF" w:rsidP="003F361D">
      <w:pPr>
        <w:rPr>
          <w:b/>
          <w:bCs/>
          <w:sz w:val="36"/>
          <w:szCs w:val="36"/>
          <w:lang w:val="en-GB"/>
        </w:rPr>
      </w:pPr>
      <w:r w:rsidRPr="001177AF">
        <w:rPr>
          <w:b/>
          <w:bCs/>
          <w:noProof/>
          <w:sz w:val="36"/>
          <w:szCs w:val="36"/>
          <w:lang w:val="en-GB"/>
        </w:rPr>
        <w:lastRenderedPageBreak/>
        <w:drawing>
          <wp:inline distT="0" distB="0" distL="0" distR="0" wp14:anchorId="74E15271" wp14:editId="68D7C1D8">
            <wp:extent cx="5399405" cy="76409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7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D086E9E" wp14:editId="35CD583A">
            <wp:extent cx="5399405" cy="76409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7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33122FF" wp14:editId="4B1D948F">
            <wp:extent cx="5399405" cy="76409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7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99BD6E2" wp14:editId="47767712">
            <wp:extent cx="5399405" cy="76409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7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7BBDEE9" wp14:editId="45666891">
            <wp:extent cx="5399405" cy="764095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7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ACF451C" wp14:editId="79E19122">
            <wp:extent cx="5399405" cy="76409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7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3837FCD" wp14:editId="394D9E58">
            <wp:extent cx="5399405" cy="764095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8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B1B616D" wp14:editId="246DB4AD">
            <wp:extent cx="5399405" cy="764095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8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ACDDF62" wp14:editId="2B4C092D">
            <wp:extent cx="5399405" cy="764095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8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CFD095E" wp14:editId="635A4C85">
            <wp:extent cx="5399405" cy="764095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8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D4A8753" wp14:editId="65786469">
            <wp:extent cx="5399405" cy="764095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8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6C3618C" wp14:editId="0FBFE8A7">
            <wp:extent cx="5399405" cy="764095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8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8DEE424" wp14:editId="663E2556">
            <wp:extent cx="5399405" cy="764095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8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30D423C" wp14:editId="20B4F4A2">
            <wp:extent cx="5399405" cy="76409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8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FAD8AA0" wp14:editId="45A21ABB">
            <wp:extent cx="5399405" cy="76409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8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9976F4E" wp14:editId="050790C3">
            <wp:extent cx="5399405" cy="764095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8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827AE73" wp14:editId="2503C1B7">
            <wp:extent cx="5399405" cy="764095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9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B4B3C31" wp14:editId="40B04343">
            <wp:extent cx="5399405" cy="764095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9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B203427" wp14:editId="50FD0C2B">
            <wp:extent cx="5399405" cy="764095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9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D769629" wp14:editId="4E8B018D">
            <wp:extent cx="5399405" cy="764095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9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CF759CB" wp14:editId="78AD6F63">
            <wp:extent cx="5399405" cy="764095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9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9DF98C9" wp14:editId="43AE8B3F">
            <wp:extent cx="5399405" cy="764095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9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9691927" wp14:editId="26349692">
            <wp:extent cx="5399405" cy="764095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9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785C11D" wp14:editId="00C0CB12">
            <wp:extent cx="5399405" cy="764095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9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64CB32CA" wp14:editId="41F0F6D0">
            <wp:extent cx="5399405" cy="76409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9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13A6290" wp14:editId="740C9380">
            <wp:extent cx="5399405" cy="76409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9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4DB4ADF" wp14:editId="0FAF7213">
            <wp:extent cx="5399405" cy="76409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0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4EF2307" wp14:editId="15F78ECC">
            <wp:extent cx="5399405" cy="764095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0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DAAF027" wp14:editId="48CEC3E1">
            <wp:extent cx="5399405" cy="764095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0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DEB274B" wp14:editId="66AC7C2F">
            <wp:extent cx="5399405" cy="764095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0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443010F" wp14:editId="6587DA9D">
            <wp:extent cx="5399405" cy="764095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0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6D91E3EA" wp14:editId="3B7DE1BD">
            <wp:extent cx="5399405" cy="76409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0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DE4F506" wp14:editId="13C1DAC9">
            <wp:extent cx="5399405" cy="764095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0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3AAC03C1" wp14:editId="200B5C43">
            <wp:extent cx="5399405" cy="764095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0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2812A52" wp14:editId="1791033A">
            <wp:extent cx="5399405" cy="764095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0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685CB56F" wp14:editId="56510DCC">
            <wp:extent cx="5399405" cy="764095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0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BF2A665" wp14:editId="2F0AEAB3">
            <wp:extent cx="5399405" cy="764095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1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0C50D8C7" wp14:editId="302F0A5D">
            <wp:extent cx="5399405" cy="76409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1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8AE1080" wp14:editId="3972E9FF">
            <wp:extent cx="5399405" cy="764095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1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0425BAD" wp14:editId="31382F19">
            <wp:extent cx="5399405" cy="764095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13">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6DF77745" wp14:editId="29752368">
            <wp:extent cx="5399405" cy="764095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14">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6D43292C" wp14:editId="0CF4FA97">
            <wp:extent cx="5399405" cy="764095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15">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19CCAA16" wp14:editId="15FA4067">
            <wp:extent cx="5399405" cy="764095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16">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D539C1C" wp14:editId="1485A376">
            <wp:extent cx="5399405" cy="764095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17">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47D4E775" wp14:editId="57C34855">
            <wp:extent cx="5399405" cy="764095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8">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E538D41" wp14:editId="0FF1B7E1">
            <wp:extent cx="5399405" cy="76409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19">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26A7179F" wp14:editId="02C6CB9D">
            <wp:extent cx="5399405" cy="764095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20">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58068059" wp14:editId="67DA9DAA">
            <wp:extent cx="5399405" cy="76409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21">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r w:rsidRPr="001177AF">
        <w:rPr>
          <w:b/>
          <w:bCs/>
          <w:noProof/>
          <w:sz w:val="36"/>
          <w:szCs w:val="36"/>
          <w:lang w:val="en-GB"/>
        </w:rPr>
        <w:lastRenderedPageBreak/>
        <w:drawing>
          <wp:inline distT="0" distB="0" distL="0" distR="0" wp14:anchorId="7524D424" wp14:editId="1B4A37FD">
            <wp:extent cx="5399405" cy="764095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22">
                      <a:extLst>
                        <a:ext uri="{28A0092B-C50C-407E-A947-70E740481C1C}">
                          <a14:useLocalDpi xmlns:a14="http://schemas.microsoft.com/office/drawing/2010/main" val="0"/>
                        </a:ext>
                      </a:extLst>
                    </a:blip>
                    <a:stretch>
                      <a:fillRect/>
                    </a:stretch>
                  </pic:blipFill>
                  <pic:spPr>
                    <a:xfrm>
                      <a:off x="0" y="0"/>
                      <a:ext cx="5399405" cy="7640955"/>
                    </a:xfrm>
                    <a:prstGeom prst="rect">
                      <a:avLst/>
                    </a:prstGeom>
                  </pic:spPr>
                </pic:pic>
              </a:graphicData>
            </a:graphic>
          </wp:inline>
        </w:drawing>
      </w:r>
    </w:p>
    <w:p w14:paraId="5A3DF794" w14:textId="77777777" w:rsidR="001177AF" w:rsidRPr="001177AF" w:rsidRDefault="001177AF" w:rsidP="001177AF">
      <w:pPr>
        <w:rPr>
          <w:lang w:val="en-GB"/>
        </w:rPr>
      </w:pPr>
    </w:p>
    <w:p w14:paraId="164FCE4C" w14:textId="77777777" w:rsidR="001177AF" w:rsidRPr="001177AF" w:rsidRDefault="001177AF" w:rsidP="001177AF">
      <w:pPr>
        <w:rPr>
          <w:lang w:val="en-GB"/>
        </w:rPr>
        <w:sectPr w:rsidR="001177AF" w:rsidRPr="001177AF" w:rsidSect="00950F2E">
          <w:footerReference w:type="default" r:id="rId123"/>
          <w:pgSz w:w="11906" w:h="16838"/>
          <w:pgMar w:top="1418" w:right="1418" w:bottom="1418" w:left="1985" w:header="709" w:footer="709" w:gutter="0"/>
          <w:pgNumType w:start="1"/>
          <w:cols w:space="708"/>
          <w:docGrid w:linePitch="360"/>
        </w:sectPr>
      </w:pPr>
    </w:p>
    <w:p w14:paraId="71E3A4C7" w14:textId="0952A9A0" w:rsidR="00F9519A" w:rsidRPr="001177AF" w:rsidRDefault="00F9519A" w:rsidP="00920EA3">
      <w:pPr>
        <w:pStyle w:val="Heading2"/>
        <w:jc w:val="both"/>
        <w:rPr>
          <w:lang w:val="en-GB"/>
        </w:rPr>
      </w:pPr>
      <w:bookmarkStart w:id="35" w:name="_Toc132365735"/>
      <w:r w:rsidRPr="001177AF">
        <w:rPr>
          <w:lang w:val="en-GB"/>
        </w:rPr>
        <w:lastRenderedPageBreak/>
        <w:t>Paper</w:t>
      </w:r>
      <w:r w:rsidR="001A60AB" w:rsidRPr="001177AF">
        <w:rPr>
          <w:lang w:val="en-GB"/>
        </w:rPr>
        <w:t>4</w:t>
      </w:r>
      <w:r w:rsidR="00C84BB9" w:rsidRPr="001177AF">
        <w:rPr>
          <w:lang w:val="en-GB"/>
        </w:rPr>
        <w:t xml:space="preserve">: Smartphone-Based Digital Biomarkers for </w:t>
      </w:r>
      <w:r w:rsidR="004E0CB0" w:rsidRPr="001177AF">
        <w:rPr>
          <w:lang w:val="en-GB"/>
        </w:rPr>
        <w:t>Parkinson's</w:t>
      </w:r>
      <w:r w:rsidR="00C84BB9" w:rsidRPr="001177AF">
        <w:rPr>
          <w:lang w:val="en-GB"/>
        </w:rPr>
        <w:t xml:space="preserve"> Disease in a Remotely Administered Setting</w:t>
      </w:r>
      <w:bookmarkEnd w:id="35"/>
    </w:p>
    <w:p w14:paraId="43435203" w14:textId="0268E768" w:rsidR="00A640A7" w:rsidRPr="001177AF" w:rsidRDefault="002615AC" w:rsidP="0048465E">
      <w:pPr>
        <w:jc w:val="center"/>
        <w:rPr>
          <w:lang w:val="de-DE"/>
        </w:rPr>
      </w:pPr>
      <w:r w:rsidRPr="001177AF">
        <w:rPr>
          <w:lang w:val="de-DE"/>
        </w:rPr>
        <w:t>Maria Goni</w:t>
      </w:r>
      <w:r w:rsidRPr="001177AF">
        <w:rPr>
          <w:position w:val="10"/>
          <w:sz w:val="14"/>
          <w:szCs w:val="14"/>
          <w:lang w:val="de-DE"/>
        </w:rPr>
        <w:t>1,2</w:t>
      </w:r>
      <w:r w:rsidRPr="001177AF">
        <w:rPr>
          <w:lang w:val="de-DE"/>
        </w:rPr>
        <w:t xml:space="preserve">, </w:t>
      </w:r>
      <w:r w:rsidR="00A640A7" w:rsidRPr="001177AF">
        <w:rPr>
          <w:lang w:val="de-DE"/>
        </w:rPr>
        <w:t>Simon B Eickhoff</w:t>
      </w:r>
      <w:r w:rsidR="00A640A7" w:rsidRPr="001177AF">
        <w:rPr>
          <w:position w:val="10"/>
          <w:sz w:val="14"/>
          <w:szCs w:val="14"/>
          <w:lang w:val="de-DE"/>
        </w:rPr>
        <w:t>1,2</w:t>
      </w:r>
      <w:r w:rsidR="00A640A7" w:rsidRPr="001177AF">
        <w:rPr>
          <w:lang w:val="de-DE"/>
        </w:rPr>
        <w:t>,</w:t>
      </w:r>
      <w:r w:rsidRPr="001177AF">
        <w:rPr>
          <w:lang w:val="de-DE"/>
        </w:rPr>
        <w:t xml:space="preserve"> Mehran </w:t>
      </w:r>
      <w:proofErr w:type="spellStart"/>
      <w:r w:rsidRPr="001177AF">
        <w:rPr>
          <w:lang w:val="de-DE"/>
        </w:rPr>
        <w:t>Sahandi</w:t>
      </w:r>
      <w:proofErr w:type="spellEnd"/>
      <w:r w:rsidRPr="001177AF">
        <w:rPr>
          <w:lang w:val="de-DE"/>
        </w:rPr>
        <w:t xml:space="preserve"> </w:t>
      </w:r>
      <w:proofErr w:type="spellStart"/>
      <w:r w:rsidRPr="001177AF">
        <w:rPr>
          <w:lang w:val="de-DE"/>
        </w:rPr>
        <w:t>Far</w:t>
      </w:r>
      <w:proofErr w:type="spellEnd"/>
      <w:r w:rsidRPr="001177AF">
        <w:rPr>
          <w:position w:val="10"/>
          <w:sz w:val="14"/>
          <w:szCs w:val="14"/>
          <w:lang w:val="de-DE"/>
        </w:rPr>
        <w:t>1,2</w:t>
      </w:r>
      <w:r w:rsidRPr="001177AF">
        <w:rPr>
          <w:lang w:val="de-DE"/>
        </w:rPr>
        <w:t xml:space="preserve">, </w:t>
      </w:r>
      <w:proofErr w:type="spellStart"/>
      <w:r w:rsidRPr="001177AF">
        <w:rPr>
          <w:lang w:val="de-DE"/>
        </w:rPr>
        <w:t>Kaustubh</w:t>
      </w:r>
      <w:proofErr w:type="spellEnd"/>
      <w:r w:rsidRPr="001177AF">
        <w:rPr>
          <w:lang w:val="de-DE"/>
        </w:rPr>
        <w:t xml:space="preserve"> R </w:t>
      </w:r>
      <w:proofErr w:type="spellStart"/>
      <w:r w:rsidRPr="001177AF">
        <w:rPr>
          <w:lang w:val="de-DE"/>
        </w:rPr>
        <w:t>Patil</w:t>
      </w:r>
      <w:proofErr w:type="spellEnd"/>
      <w:r w:rsidRPr="001177AF">
        <w:rPr>
          <w:position w:val="10"/>
          <w:sz w:val="14"/>
          <w:szCs w:val="14"/>
          <w:lang w:val="de-DE"/>
        </w:rPr>
        <w:t>1,2</w:t>
      </w:r>
      <w:r w:rsidRPr="001177AF">
        <w:rPr>
          <w:lang w:val="de-DE"/>
        </w:rPr>
        <w:t>, Juergen</w:t>
      </w:r>
      <w:r w:rsidR="00A640A7" w:rsidRPr="001177AF">
        <w:rPr>
          <w:lang w:val="de-DE"/>
        </w:rPr>
        <w:t xml:space="preserve"> Dukart</w:t>
      </w:r>
      <w:r w:rsidR="00A640A7" w:rsidRPr="001177AF">
        <w:rPr>
          <w:position w:val="10"/>
          <w:sz w:val="14"/>
          <w:szCs w:val="14"/>
          <w:lang w:val="de-DE"/>
        </w:rPr>
        <w:t>1,2</w:t>
      </w:r>
    </w:p>
    <w:p w14:paraId="11A5EEC0" w14:textId="25C50974" w:rsidR="0048465E" w:rsidRPr="001177AF" w:rsidRDefault="0048465E" w:rsidP="0048465E">
      <w:pPr>
        <w:jc w:val="center"/>
        <w:rPr>
          <w:lang w:val="de-DE"/>
        </w:rPr>
      </w:pPr>
    </w:p>
    <w:p w14:paraId="1308687B" w14:textId="449CF925" w:rsidR="0048465E" w:rsidRPr="001177AF" w:rsidRDefault="0048465E" w:rsidP="0048465E">
      <w:pPr>
        <w:jc w:val="center"/>
        <w:rPr>
          <w:lang w:val="de-DE"/>
        </w:rPr>
      </w:pPr>
    </w:p>
    <w:p w14:paraId="550EDEB3" w14:textId="77777777" w:rsidR="0048465E" w:rsidRPr="001177AF" w:rsidRDefault="0048465E" w:rsidP="0048465E">
      <w:pPr>
        <w:jc w:val="center"/>
        <w:rPr>
          <w:lang w:val="de-DE"/>
        </w:rPr>
      </w:pPr>
    </w:p>
    <w:p w14:paraId="420FC6F6" w14:textId="504CF9FE" w:rsidR="00A640A7" w:rsidRPr="001177AF" w:rsidRDefault="00A640A7" w:rsidP="00920EA3">
      <w:pPr>
        <w:jc w:val="both"/>
        <w:rPr>
          <w:sz w:val="20"/>
          <w:szCs w:val="20"/>
          <w:lang w:val="en-GB"/>
        </w:rPr>
      </w:pPr>
      <w:r w:rsidRPr="001177AF">
        <w:rPr>
          <w:position w:val="8"/>
          <w:sz w:val="20"/>
          <w:szCs w:val="20"/>
          <w:lang w:val="en-GB"/>
        </w:rPr>
        <w:t>1</w:t>
      </w:r>
      <w:r w:rsidRPr="001177AF">
        <w:rPr>
          <w:sz w:val="20"/>
          <w:szCs w:val="20"/>
          <w:lang w:val="en-GB"/>
        </w:rPr>
        <w:t xml:space="preserve">Institute of Neuroscience and Medicine, Brain &amp; Behaviour (INM-7), Research Centre </w:t>
      </w:r>
      <w:r w:rsidR="00920EA3" w:rsidRPr="001177AF">
        <w:rPr>
          <w:sz w:val="20"/>
          <w:szCs w:val="20"/>
          <w:lang w:val="en-GB"/>
        </w:rPr>
        <w:t>Jülich</w:t>
      </w:r>
      <w:r w:rsidRPr="001177AF">
        <w:rPr>
          <w:sz w:val="20"/>
          <w:szCs w:val="20"/>
          <w:lang w:val="en-GB"/>
        </w:rPr>
        <w:t xml:space="preserve">, </w:t>
      </w:r>
      <w:r w:rsidR="00920EA3" w:rsidRPr="001177AF">
        <w:rPr>
          <w:sz w:val="20"/>
          <w:szCs w:val="20"/>
          <w:lang w:val="en-GB"/>
        </w:rPr>
        <w:t>Jülich</w:t>
      </w:r>
      <w:r w:rsidRPr="001177AF">
        <w:rPr>
          <w:sz w:val="20"/>
          <w:szCs w:val="20"/>
          <w:lang w:val="en-GB"/>
        </w:rPr>
        <w:t xml:space="preserve">, Germany </w:t>
      </w:r>
    </w:p>
    <w:p w14:paraId="7E61B09F" w14:textId="46D3F16A" w:rsidR="004D7775" w:rsidRPr="001177AF" w:rsidRDefault="00A640A7" w:rsidP="00920EA3">
      <w:pPr>
        <w:jc w:val="both"/>
        <w:rPr>
          <w:sz w:val="20"/>
          <w:szCs w:val="20"/>
          <w:lang w:val="en-GB"/>
        </w:rPr>
      </w:pPr>
      <w:r w:rsidRPr="001177AF">
        <w:rPr>
          <w:position w:val="8"/>
          <w:sz w:val="20"/>
          <w:szCs w:val="20"/>
          <w:lang w:val="en-GB"/>
        </w:rPr>
        <w:t>2</w:t>
      </w:r>
      <w:r w:rsidRPr="001177AF">
        <w:rPr>
          <w:sz w:val="20"/>
          <w:szCs w:val="20"/>
          <w:lang w:val="en-GB"/>
        </w:rPr>
        <w:t xml:space="preserve">Institute of Systems Neuroscience, Medical Faculty, Heinrich Heine University </w:t>
      </w:r>
      <w:r w:rsidR="00920EA3" w:rsidRPr="001177AF">
        <w:rPr>
          <w:sz w:val="20"/>
          <w:szCs w:val="20"/>
          <w:lang w:val="en-GB"/>
        </w:rPr>
        <w:t>Düsseldorf</w:t>
      </w:r>
      <w:r w:rsidRPr="001177AF">
        <w:rPr>
          <w:sz w:val="20"/>
          <w:szCs w:val="20"/>
          <w:lang w:val="en-GB"/>
        </w:rPr>
        <w:t xml:space="preserve">, </w:t>
      </w:r>
      <w:r w:rsidR="00920EA3" w:rsidRPr="001177AF">
        <w:rPr>
          <w:sz w:val="20"/>
          <w:szCs w:val="20"/>
          <w:lang w:val="en-GB"/>
        </w:rPr>
        <w:t>Düsseldorf</w:t>
      </w:r>
      <w:r w:rsidRPr="001177AF">
        <w:rPr>
          <w:sz w:val="20"/>
          <w:szCs w:val="20"/>
          <w:lang w:val="en-GB"/>
        </w:rPr>
        <w:t>, Germany</w:t>
      </w:r>
    </w:p>
    <w:p w14:paraId="25EE3AF9" w14:textId="3F591E40" w:rsidR="0048465E" w:rsidRPr="001177AF" w:rsidRDefault="0048465E" w:rsidP="004D7775">
      <w:pPr>
        <w:rPr>
          <w:sz w:val="20"/>
          <w:szCs w:val="20"/>
          <w:lang w:val="en-GB"/>
        </w:rPr>
      </w:pPr>
    </w:p>
    <w:p w14:paraId="58EA5524" w14:textId="30D12264" w:rsidR="0048465E" w:rsidRPr="001177AF" w:rsidRDefault="0048465E" w:rsidP="004D7775">
      <w:pPr>
        <w:rPr>
          <w:sz w:val="20"/>
          <w:szCs w:val="20"/>
          <w:lang w:val="en-GB"/>
        </w:rPr>
      </w:pPr>
    </w:p>
    <w:p w14:paraId="622127C6" w14:textId="77777777" w:rsidR="0048465E" w:rsidRPr="001177AF" w:rsidRDefault="0048465E" w:rsidP="004D7775">
      <w:pPr>
        <w:rPr>
          <w:sz w:val="20"/>
          <w:szCs w:val="20"/>
          <w:lang w:val="en-GB"/>
        </w:rPr>
      </w:pPr>
    </w:p>
    <w:p w14:paraId="631F0AB1" w14:textId="77777777" w:rsidR="004D7775" w:rsidRPr="001177AF" w:rsidRDefault="004D7775" w:rsidP="004D7775">
      <w:pPr>
        <w:pStyle w:val="NormalWeb"/>
        <w:rPr>
          <w:sz w:val="36"/>
          <w:szCs w:val="36"/>
          <w:lang w:val="en-GB"/>
        </w:rPr>
      </w:pPr>
      <w:r w:rsidRPr="001177AF">
        <w:rPr>
          <w:b/>
          <w:bCs/>
          <w:lang w:val="en-GB"/>
        </w:rPr>
        <w:t xml:space="preserve">Corresponding Author: </w:t>
      </w:r>
    </w:p>
    <w:p w14:paraId="4EC7BDF1" w14:textId="1EE9D46F" w:rsidR="004D7775" w:rsidRPr="001177AF" w:rsidRDefault="004D7775" w:rsidP="0048465E">
      <w:pPr>
        <w:rPr>
          <w:color w:val="0000FF"/>
          <w:sz w:val="20"/>
          <w:szCs w:val="20"/>
          <w:lang w:val="en-GB"/>
        </w:rPr>
      </w:pPr>
      <w:r w:rsidRPr="001177AF">
        <w:rPr>
          <w:sz w:val="20"/>
          <w:szCs w:val="20"/>
          <w:lang w:val="en-GB"/>
        </w:rPr>
        <w:t xml:space="preserve">Juergen </w:t>
      </w:r>
      <w:proofErr w:type="spellStart"/>
      <w:r w:rsidRPr="001177AF">
        <w:rPr>
          <w:sz w:val="20"/>
          <w:szCs w:val="20"/>
          <w:lang w:val="en-GB"/>
        </w:rPr>
        <w:t>Dukart</w:t>
      </w:r>
      <w:proofErr w:type="spellEnd"/>
      <w:r w:rsidRPr="001177AF">
        <w:rPr>
          <w:sz w:val="20"/>
          <w:szCs w:val="20"/>
          <w:lang w:val="en-GB"/>
        </w:rPr>
        <w:t>, PhD</w:t>
      </w:r>
      <w:r w:rsidRPr="001177AF">
        <w:rPr>
          <w:sz w:val="20"/>
          <w:szCs w:val="20"/>
          <w:lang w:val="en-GB"/>
        </w:rPr>
        <w:br/>
        <w:t xml:space="preserve">Institute of Neuroscience and Medicine, Brain &amp; Behaviour (INM-7) Research Centre </w:t>
      </w:r>
      <w:proofErr w:type="spellStart"/>
      <w:r w:rsidR="00920EA3" w:rsidRPr="001177AF">
        <w:rPr>
          <w:sz w:val="20"/>
          <w:szCs w:val="20"/>
          <w:lang w:val="en-GB"/>
        </w:rPr>
        <w:t>Jülich</w:t>
      </w:r>
      <w:proofErr w:type="spellEnd"/>
      <w:r w:rsidRPr="001177AF">
        <w:rPr>
          <w:sz w:val="20"/>
          <w:szCs w:val="20"/>
          <w:lang w:val="en-GB"/>
        </w:rPr>
        <w:br/>
        <w:t>Wilhelm-</w:t>
      </w:r>
      <w:proofErr w:type="spellStart"/>
      <w:r w:rsidRPr="001177AF">
        <w:rPr>
          <w:sz w:val="20"/>
          <w:szCs w:val="20"/>
          <w:lang w:val="en-GB"/>
        </w:rPr>
        <w:t>Johnen</w:t>
      </w:r>
      <w:proofErr w:type="spellEnd"/>
      <w:r w:rsidRPr="001177AF">
        <w:rPr>
          <w:sz w:val="20"/>
          <w:szCs w:val="20"/>
          <w:lang w:val="en-GB"/>
        </w:rPr>
        <w:t>-Strasse</w:t>
      </w:r>
      <w:r w:rsidRPr="001177AF">
        <w:rPr>
          <w:sz w:val="20"/>
          <w:szCs w:val="20"/>
          <w:lang w:val="en-GB"/>
        </w:rPr>
        <w:br/>
      </w:r>
      <w:proofErr w:type="spellStart"/>
      <w:r w:rsidRPr="001177AF">
        <w:rPr>
          <w:sz w:val="20"/>
          <w:szCs w:val="20"/>
          <w:lang w:val="en-GB"/>
        </w:rPr>
        <w:t>Jülich</w:t>
      </w:r>
      <w:proofErr w:type="spellEnd"/>
      <w:r w:rsidRPr="001177AF">
        <w:rPr>
          <w:sz w:val="20"/>
          <w:szCs w:val="20"/>
          <w:lang w:val="en-GB"/>
        </w:rPr>
        <w:t>, 52425</w:t>
      </w:r>
      <w:r w:rsidRPr="001177AF">
        <w:rPr>
          <w:sz w:val="20"/>
          <w:szCs w:val="20"/>
          <w:lang w:val="en-GB"/>
        </w:rPr>
        <w:br/>
        <w:t>Germany</w:t>
      </w:r>
      <w:r w:rsidRPr="001177AF">
        <w:rPr>
          <w:sz w:val="20"/>
          <w:szCs w:val="20"/>
          <w:lang w:val="en-GB"/>
        </w:rPr>
        <w:br/>
        <w:t>Phone: 49 1632874330</w:t>
      </w:r>
      <w:r w:rsidRPr="001177AF">
        <w:rPr>
          <w:sz w:val="20"/>
          <w:szCs w:val="20"/>
          <w:lang w:val="en-GB"/>
        </w:rPr>
        <w:br/>
        <w:t>Fax: 49 2461611880</w:t>
      </w:r>
      <w:r w:rsidRPr="001177AF">
        <w:rPr>
          <w:sz w:val="20"/>
          <w:szCs w:val="20"/>
          <w:lang w:val="en-GB"/>
        </w:rPr>
        <w:br/>
        <w:t xml:space="preserve">Email: </w:t>
      </w:r>
      <w:r w:rsidRPr="001177AF">
        <w:rPr>
          <w:color w:val="0000FF"/>
          <w:sz w:val="20"/>
          <w:szCs w:val="20"/>
          <w:lang w:val="en-GB"/>
        </w:rPr>
        <w:t xml:space="preserve">juergen.dukart@gmail.com </w:t>
      </w:r>
    </w:p>
    <w:p w14:paraId="0BE5570F" w14:textId="7849A0A7" w:rsidR="0048465E" w:rsidRPr="001177AF" w:rsidRDefault="0048465E" w:rsidP="0048465E">
      <w:pPr>
        <w:rPr>
          <w:color w:val="0000FF"/>
          <w:sz w:val="20"/>
          <w:szCs w:val="20"/>
          <w:lang w:val="en-GB"/>
        </w:rPr>
      </w:pPr>
    </w:p>
    <w:p w14:paraId="3BA52E70" w14:textId="4AF35D9F" w:rsidR="0048465E" w:rsidRPr="001177AF" w:rsidRDefault="0048465E" w:rsidP="0048465E">
      <w:pPr>
        <w:rPr>
          <w:color w:val="0000FF"/>
          <w:sz w:val="20"/>
          <w:szCs w:val="20"/>
          <w:lang w:val="en-GB"/>
        </w:rPr>
      </w:pPr>
    </w:p>
    <w:p w14:paraId="755B7BEB" w14:textId="77777777" w:rsidR="0048465E" w:rsidRPr="001177AF" w:rsidRDefault="0048465E" w:rsidP="0048465E">
      <w:pPr>
        <w:rPr>
          <w:color w:val="0000FF"/>
          <w:sz w:val="20"/>
          <w:szCs w:val="20"/>
          <w:lang w:val="en-GB"/>
        </w:rPr>
      </w:pPr>
    </w:p>
    <w:p w14:paraId="59A95231" w14:textId="65719FDD" w:rsidR="004D7775" w:rsidRPr="001177AF" w:rsidRDefault="004D7775" w:rsidP="004D7775">
      <w:pPr>
        <w:rPr>
          <w:shd w:val="clear" w:color="auto" w:fill="FFFFFF"/>
          <w:lang w:val="en-GB"/>
        </w:rPr>
      </w:pPr>
      <w:r w:rsidRPr="001177AF">
        <w:rPr>
          <w:rStyle w:val="apple-converted-space"/>
          <w:color w:val="333333"/>
          <w:shd w:val="clear" w:color="auto" w:fill="FFFFFF"/>
          <w:lang w:val="en-GB"/>
        </w:rPr>
        <w:t>Published in:</w:t>
      </w:r>
      <w:r w:rsidR="00F723BB" w:rsidRPr="001177AF">
        <w:rPr>
          <w:rStyle w:val="apple-converted-space"/>
          <w:color w:val="333333"/>
          <w:shd w:val="clear" w:color="auto" w:fill="FFFFFF"/>
          <w:lang w:val="en-GB"/>
        </w:rPr>
        <w:t> </w:t>
      </w:r>
      <w:r w:rsidR="00F723BB" w:rsidRPr="001177AF">
        <w:rPr>
          <w:rStyle w:val="Emphasis"/>
          <w:color w:val="333333"/>
          <w:lang w:val="en-GB"/>
        </w:rPr>
        <w:t>IEEE Access</w:t>
      </w:r>
      <w:r w:rsidR="00F723BB" w:rsidRPr="001177AF">
        <w:rPr>
          <w:shd w:val="clear" w:color="auto" w:fill="FFFFFF"/>
          <w:lang w:val="en-GB"/>
        </w:rPr>
        <w:t>, vol. 10, pp. 28361-28384, 2022,</w:t>
      </w:r>
    </w:p>
    <w:p w14:paraId="78B9FADF" w14:textId="77777777" w:rsidR="0048465E" w:rsidRPr="001177AF" w:rsidRDefault="00000000" w:rsidP="0048465E">
      <w:pPr>
        <w:rPr>
          <w:lang w:val="en-GB"/>
        </w:rPr>
      </w:pPr>
      <w:hyperlink r:id="rId124" w:tgtFrame="_blank" w:history="1">
        <w:r w:rsidR="004D7775" w:rsidRPr="001177AF">
          <w:rPr>
            <w:rStyle w:val="Hyperlink"/>
            <w:color w:val="006699"/>
            <w:lang w:val="en-GB"/>
          </w:rPr>
          <w:t>https://doi.org/10.1109/ACCESS.2022.3156659</w:t>
        </w:r>
      </w:hyperlink>
    </w:p>
    <w:p w14:paraId="7C76B835" w14:textId="77777777" w:rsidR="0048465E" w:rsidRPr="001177AF" w:rsidRDefault="0048465E" w:rsidP="0048465E">
      <w:pPr>
        <w:rPr>
          <w:lang w:val="en-GB"/>
        </w:rPr>
      </w:pPr>
    </w:p>
    <w:p w14:paraId="33101087" w14:textId="77777777" w:rsidR="0048465E" w:rsidRPr="001177AF" w:rsidRDefault="0048465E" w:rsidP="0048465E">
      <w:pPr>
        <w:rPr>
          <w:lang w:val="en-GB"/>
        </w:rPr>
      </w:pPr>
    </w:p>
    <w:p w14:paraId="40869B92" w14:textId="77777777" w:rsidR="0048465E" w:rsidRPr="001177AF" w:rsidRDefault="0048465E" w:rsidP="0048465E">
      <w:pPr>
        <w:rPr>
          <w:lang w:val="en-GB"/>
        </w:rPr>
      </w:pPr>
    </w:p>
    <w:p w14:paraId="491BC503" w14:textId="070B0071" w:rsidR="004D7775" w:rsidRPr="001177AF" w:rsidRDefault="004D7775" w:rsidP="0048465E">
      <w:pPr>
        <w:rPr>
          <w:shd w:val="clear" w:color="auto" w:fill="FFFFFF"/>
          <w:lang w:val="en-GB"/>
        </w:rPr>
      </w:pPr>
      <w:r w:rsidRPr="001177AF">
        <w:rPr>
          <w:b/>
          <w:bCs/>
          <w:lang w:val="en-GB"/>
        </w:rPr>
        <w:t xml:space="preserve">Own contributions </w:t>
      </w:r>
    </w:p>
    <w:p w14:paraId="0EAAD2DB" w14:textId="64B04C63" w:rsidR="002615AC" w:rsidRDefault="00D01E56" w:rsidP="002615AC">
      <w:pPr>
        <w:pStyle w:val="NormalWeb"/>
        <w:rPr>
          <w:sz w:val="20"/>
          <w:szCs w:val="20"/>
        </w:rPr>
      </w:pPr>
      <w:r w:rsidRPr="00F53265">
        <w:rPr>
          <w:color w:val="282828"/>
          <w:sz w:val="20"/>
          <w:szCs w:val="20"/>
          <w:lang w:val="en-GB"/>
        </w:rPr>
        <w:t>C</w:t>
      </w:r>
      <w:r w:rsidR="002615AC" w:rsidRPr="00F53265">
        <w:rPr>
          <w:color w:val="282828"/>
          <w:sz w:val="20"/>
          <w:szCs w:val="20"/>
          <w:lang w:val="en-GB"/>
        </w:rPr>
        <w:t>ontributing</w:t>
      </w:r>
      <w:r w:rsidRPr="00F53265">
        <w:rPr>
          <w:color w:val="282828"/>
          <w:sz w:val="20"/>
          <w:szCs w:val="20"/>
          <w:lang w:val="en-GB"/>
        </w:rPr>
        <w:t xml:space="preserve"> and giving input on analyses</w:t>
      </w:r>
      <w:r w:rsidR="002615AC" w:rsidRPr="00F53265">
        <w:rPr>
          <w:color w:val="282828"/>
          <w:sz w:val="20"/>
          <w:szCs w:val="20"/>
          <w:lang w:val="en-GB"/>
        </w:rPr>
        <w:t xml:space="preserve">, </w:t>
      </w:r>
      <w:r w:rsidRPr="00F53265">
        <w:rPr>
          <w:sz w:val="20"/>
          <w:szCs w:val="20"/>
          <w:lang w:val="en-US"/>
        </w:rPr>
        <w:t>Own</w:t>
      </w:r>
      <w:r w:rsidR="002615AC" w:rsidRPr="00F53265">
        <w:rPr>
          <w:sz w:val="20"/>
          <w:szCs w:val="20"/>
        </w:rPr>
        <w:t xml:space="preserve"> contribution </w:t>
      </w:r>
      <w:r w:rsidR="002615AC" w:rsidRPr="00F53265">
        <w:rPr>
          <w:sz w:val="20"/>
          <w:szCs w:val="20"/>
          <w:lang w:val="en-US"/>
        </w:rPr>
        <w:t>1</w:t>
      </w:r>
      <w:r w:rsidR="002615AC" w:rsidRPr="00F53265">
        <w:rPr>
          <w:sz w:val="20"/>
          <w:szCs w:val="20"/>
        </w:rPr>
        <w:t xml:space="preserve">0% </w:t>
      </w:r>
    </w:p>
    <w:p w14:paraId="7C347E90" w14:textId="77777777" w:rsidR="006C5756" w:rsidRDefault="006C5756" w:rsidP="002615AC">
      <w:pPr>
        <w:pStyle w:val="NormalWeb"/>
        <w:rPr>
          <w:sz w:val="20"/>
          <w:szCs w:val="20"/>
        </w:rPr>
      </w:pPr>
    </w:p>
    <w:p w14:paraId="51BF4937" w14:textId="77777777" w:rsidR="006C5756" w:rsidRPr="00F53265" w:rsidRDefault="006C5756" w:rsidP="006C5756">
      <w:pPr>
        <w:pStyle w:val="NormalWeb"/>
        <w:rPr>
          <w:sz w:val="20"/>
          <w:szCs w:val="20"/>
        </w:rPr>
        <w:sectPr w:rsidR="006C5756" w:rsidRPr="00F53265" w:rsidSect="00637D61">
          <w:footerReference w:type="default" r:id="rId125"/>
          <w:pgSz w:w="11906" w:h="16838"/>
          <w:pgMar w:top="1418" w:right="1418" w:bottom="1418" w:left="1985" w:header="709" w:footer="709" w:gutter="0"/>
          <w:pgNumType w:start="12"/>
          <w:cols w:space="708"/>
          <w:docGrid w:linePitch="360"/>
        </w:sectPr>
      </w:pPr>
    </w:p>
    <w:p w14:paraId="6069B12F" w14:textId="2655002A" w:rsidR="006C5756" w:rsidRPr="001177AF" w:rsidRDefault="006C5756" w:rsidP="002615AC">
      <w:pPr>
        <w:pStyle w:val="NormalWeb"/>
      </w:pPr>
      <w:r w:rsidRPr="001177AF">
        <w:rPr>
          <w:b/>
          <w:bCs/>
          <w:noProof/>
          <w:sz w:val="36"/>
          <w:szCs w:val="36"/>
          <w:lang w:val="en-GB"/>
        </w:rPr>
        <w:lastRenderedPageBreak/>
        <w:drawing>
          <wp:inline distT="0" distB="0" distL="0" distR="0" wp14:anchorId="25F40D92" wp14:editId="3DEB7D3E">
            <wp:extent cx="5399405" cy="733996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26">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p>
    <w:p w14:paraId="3EE974D5" w14:textId="3CEC48D2" w:rsidR="00BA337D" w:rsidRPr="001177AF" w:rsidRDefault="00BA337D">
      <w:pPr>
        <w:rPr>
          <w:rStyle w:val="Heading2Char"/>
          <w:lang w:val="en-GB"/>
        </w:rPr>
      </w:pPr>
      <w:r w:rsidRPr="001177AF">
        <w:rPr>
          <w:b/>
          <w:bCs/>
          <w:noProof/>
          <w:sz w:val="36"/>
          <w:szCs w:val="36"/>
          <w:lang w:val="en-GB"/>
        </w:rPr>
        <w:lastRenderedPageBreak/>
        <w:drawing>
          <wp:inline distT="0" distB="0" distL="0" distR="0" wp14:anchorId="6CCC5C2A" wp14:editId="643583D8">
            <wp:extent cx="5399405" cy="7339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27">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240FE2A6" wp14:editId="3F6DFE10">
            <wp:extent cx="5399405" cy="733996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28">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2A893EA8" wp14:editId="4E943745">
            <wp:extent cx="5399405" cy="733996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29">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7B7C8DFC" wp14:editId="7583FA4B">
            <wp:extent cx="5399405" cy="73399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30">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5B60658B" wp14:editId="09E4FA50">
            <wp:extent cx="5399405" cy="733996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31">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4A9F70B6" wp14:editId="0255299D">
            <wp:extent cx="5399405" cy="73399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32">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1B170992" wp14:editId="34C48BD8">
            <wp:extent cx="5399405" cy="73399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33">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07857B7E" wp14:editId="79C4A8EF">
            <wp:extent cx="5399405" cy="73399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34">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1BAA5E63" wp14:editId="238CA4A2">
            <wp:extent cx="5399405" cy="73399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35">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715BCAF2" wp14:editId="2F60EDC9">
            <wp:extent cx="5399405" cy="73399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36">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1AECE512" wp14:editId="14103836">
            <wp:extent cx="5399405" cy="73399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37">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4D27A79D" wp14:editId="273F832B">
            <wp:extent cx="5399405" cy="733996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38">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38075580" wp14:editId="0030BC0E">
            <wp:extent cx="5399405" cy="73399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39">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62B961A8" wp14:editId="1866FE91">
            <wp:extent cx="5399405" cy="73399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40">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64947C6E" wp14:editId="0A0CB469">
            <wp:extent cx="5399405" cy="73399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41">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53D0235E" wp14:editId="1B4157D5">
            <wp:extent cx="5399405" cy="733996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42">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115B7DC7" wp14:editId="2E764A47">
            <wp:extent cx="5399405" cy="733996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43">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7009B29C" wp14:editId="4C9A4D4F">
            <wp:extent cx="5399405" cy="733996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44">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246C80A1" wp14:editId="0B5F0DE0">
            <wp:extent cx="5399405" cy="733996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45">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346D7EBE" wp14:editId="30298CDD">
            <wp:extent cx="5399405" cy="733996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46">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31C63448" wp14:editId="36E8FD86">
            <wp:extent cx="5399405" cy="733996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47">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1AE0A06E" wp14:editId="77AFF67B">
            <wp:extent cx="5399405" cy="73399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48">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r w:rsidRPr="001177AF">
        <w:rPr>
          <w:b/>
          <w:bCs/>
          <w:noProof/>
          <w:sz w:val="36"/>
          <w:szCs w:val="36"/>
          <w:lang w:val="en-GB"/>
        </w:rPr>
        <w:lastRenderedPageBreak/>
        <w:drawing>
          <wp:inline distT="0" distB="0" distL="0" distR="0" wp14:anchorId="3D4B4A12" wp14:editId="0E77382F">
            <wp:extent cx="5399405" cy="73399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49">
                      <a:extLst>
                        <a:ext uri="{28A0092B-C50C-407E-A947-70E740481C1C}">
                          <a14:useLocalDpi xmlns:a14="http://schemas.microsoft.com/office/drawing/2010/main" val="0"/>
                        </a:ext>
                      </a:extLst>
                    </a:blip>
                    <a:stretch>
                      <a:fillRect/>
                    </a:stretch>
                  </pic:blipFill>
                  <pic:spPr>
                    <a:xfrm>
                      <a:off x="0" y="0"/>
                      <a:ext cx="5399405" cy="7339965"/>
                    </a:xfrm>
                    <a:prstGeom prst="rect">
                      <a:avLst/>
                    </a:prstGeom>
                  </pic:spPr>
                </pic:pic>
              </a:graphicData>
            </a:graphic>
          </wp:inline>
        </w:drawing>
      </w:r>
    </w:p>
    <w:p w14:paraId="3708D8AF" w14:textId="77777777" w:rsidR="008301E4" w:rsidRPr="001177AF" w:rsidRDefault="008301E4">
      <w:pPr>
        <w:rPr>
          <w:rStyle w:val="Heading2Char"/>
          <w:lang w:val="en-GB"/>
        </w:rPr>
      </w:pPr>
    </w:p>
    <w:p w14:paraId="75193512" w14:textId="77777777" w:rsidR="008301E4" w:rsidRPr="001177AF" w:rsidRDefault="008301E4">
      <w:pPr>
        <w:rPr>
          <w:rStyle w:val="Heading2Char"/>
          <w:lang w:val="en-GB"/>
        </w:rPr>
        <w:sectPr w:rsidR="008301E4" w:rsidRPr="001177AF" w:rsidSect="00950F2E">
          <w:footerReference w:type="default" r:id="rId150"/>
          <w:pgSz w:w="11906" w:h="16838"/>
          <w:pgMar w:top="1418" w:right="1418" w:bottom="1418" w:left="1985" w:header="709" w:footer="709" w:gutter="0"/>
          <w:pgNumType w:start="1"/>
          <w:cols w:space="708"/>
          <w:docGrid w:linePitch="360"/>
        </w:sectPr>
      </w:pPr>
    </w:p>
    <w:p w14:paraId="44DD4346" w14:textId="77777777" w:rsidR="008301E4" w:rsidRPr="001177AF" w:rsidRDefault="008301E4">
      <w:pPr>
        <w:rPr>
          <w:rStyle w:val="Heading2Char"/>
          <w:lang w:val="en-GB"/>
        </w:rPr>
      </w:pPr>
    </w:p>
    <w:p w14:paraId="76520EC0" w14:textId="73444190" w:rsidR="007D5D81" w:rsidRPr="001177AF" w:rsidRDefault="009247E2" w:rsidP="00C84BB9">
      <w:pPr>
        <w:spacing w:line="360" w:lineRule="auto"/>
        <w:rPr>
          <w:b/>
          <w:bCs/>
          <w:sz w:val="36"/>
          <w:szCs w:val="36"/>
          <w:lang w:val="en-GB"/>
        </w:rPr>
      </w:pPr>
      <w:bookmarkStart w:id="36" w:name="_Toc132365736"/>
      <w:r w:rsidRPr="001177AF">
        <w:rPr>
          <w:rStyle w:val="Heading2Char"/>
          <w:lang w:val="en-GB"/>
        </w:rPr>
        <w:t>General</w:t>
      </w:r>
      <w:r w:rsidR="00C84BB9" w:rsidRPr="001177AF">
        <w:rPr>
          <w:rStyle w:val="Heading2Char"/>
          <w:lang w:val="en-GB"/>
        </w:rPr>
        <w:t xml:space="preserve"> </w:t>
      </w:r>
      <w:r w:rsidRPr="001177AF">
        <w:rPr>
          <w:rStyle w:val="Heading2Char"/>
          <w:lang w:val="en-GB"/>
        </w:rPr>
        <w:t>Discussion</w:t>
      </w:r>
      <w:bookmarkEnd w:id="36"/>
    </w:p>
    <w:p w14:paraId="391AEADB" w14:textId="11706AC9" w:rsidR="001619F2" w:rsidRPr="001177AF" w:rsidRDefault="00AC4D25" w:rsidP="00572C15">
      <w:pPr>
        <w:spacing w:line="360" w:lineRule="auto"/>
        <w:jc w:val="both"/>
        <w:rPr>
          <w:lang w:val="en-GB"/>
        </w:rPr>
      </w:pPr>
      <w:r w:rsidRPr="001177AF">
        <w:rPr>
          <w:lang w:val="en-GB"/>
        </w:rPr>
        <w:t xml:space="preserve">DBs collected using smart devices are a promising tool for accurate, continuous, and unobstructed monitoring of PD symptoms in </w:t>
      </w:r>
      <w:r w:rsidR="004E0CB0" w:rsidRPr="001177AF">
        <w:rPr>
          <w:lang w:val="en-GB"/>
        </w:rPr>
        <w:t>patients'</w:t>
      </w:r>
      <w:r w:rsidRPr="001177AF">
        <w:rPr>
          <w:lang w:val="en-GB"/>
        </w:rPr>
        <w:t xml:space="preserve"> daily life. </w:t>
      </w:r>
      <w:r w:rsidR="006B04BD" w:rsidRPr="001177AF">
        <w:rPr>
          <w:lang w:val="en-GB"/>
        </w:rPr>
        <w:t xml:space="preserve">Nonetheless, for DBs to be successfully implemented in clinical settings, it is crucial to establish an </w:t>
      </w:r>
      <w:r w:rsidR="001619F2" w:rsidRPr="001177AF">
        <w:rPr>
          <w:lang w:val="en-GB"/>
        </w:rPr>
        <w:t xml:space="preserve">open-source infrastructure, </w:t>
      </w:r>
      <w:r w:rsidR="005D54DC" w:rsidRPr="001177AF">
        <w:rPr>
          <w:lang w:val="en-GB"/>
        </w:rPr>
        <w:t>standardised</w:t>
      </w:r>
      <w:r w:rsidR="001619F2" w:rsidRPr="001177AF">
        <w:rPr>
          <w:lang w:val="en-GB"/>
        </w:rPr>
        <w:t xml:space="preserve"> evaluation pipelines, and </w:t>
      </w:r>
      <w:r w:rsidR="00572C15" w:rsidRPr="001177AF">
        <w:rPr>
          <w:lang w:val="en-GB"/>
        </w:rPr>
        <w:t xml:space="preserve">the </w:t>
      </w:r>
      <w:r w:rsidR="001619F2" w:rsidRPr="001177AF">
        <w:rPr>
          <w:lang w:val="en-GB"/>
        </w:rPr>
        <w:t>development of reliable DBs.</w:t>
      </w:r>
      <w:r w:rsidR="00B23C9D" w:rsidRPr="001177AF">
        <w:rPr>
          <w:lang w:val="en-GB"/>
        </w:rPr>
        <w:t xml:space="preserve"> </w:t>
      </w:r>
      <w:r w:rsidR="00080A83" w:rsidRPr="001177AF">
        <w:rPr>
          <w:lang w:val="en-GB"/>
        </w:rPr>
        <w:t xml:space="preserve">In a series of manuscripts, </w:t>
      </w:r>
      <w:r w:rsidRPr="001177AF">
        <w:rPr>
          <w:lang w:val="en-GB"/>
        </w:rPr>
        <w:t xml:space="preserve">I addressed some of the known major challenges </w:t>
      </w:r>
      <w:r w:rsidR="00B23C9D" w:rsidRPr="001177AF">
        <w:rPr>
          <w:lang w:val="en-GB"/>
        </w:rPr>
        <w:t xml:space="preserve">in </w:t>
      </w:r>
      <w:r w:rsidR="00080A83" w:rsidRPr="001177AF">
        <w:rPr>
          <w:lang w:val="en-GB"/>
        </w:rPr>
        <w:t>this context</w:t>
      </w:r>
      <w:r w:rsidR="00572C15" w:rsidRPr="001177AF">
        <w:rPr>
          <w:lang w:val="en-GB"/>
        </w:rPr>
        <w:t>,</w:t>
      </w:r>
      <w:r w:rsidR="00B23C9D" w:rsidRPr="001177AF">
        <w:rPr>
          <w:lang w:val="en-GB"/>
        </w:rPr>
        <w:t xml:space="preserve"> and </w:t>
      </w:r>
      <w:r w:rsidR="00080A83" w:rsidRPr="001177AF">
        <w:rPr>
          <w:lang w:val="en-GB"/>
        </w:rPr>
        <w:t>in the following section</w:t>
      </w:r>
      <w:r w:rsidR="00572C15" w:rsidRPr="001177AF">
        <w:rPr>
          <w:lang w:val="en-GB"/>
        </w:rPr>
        <w:t>,</w:t>
      </w:r>
      <w:r w:rsidR="001619F2" w:rsidRPr="001177AF">
        <w:rPr>
          <w:lang w:val="en-GB"/>
        </w:rPr>
        <w:t xml:space="preserve"> I discuss the key outcomes</w:t>
      </w:r>
      <w:r w:rsidRPr="001177AF">
        <w:rPr>
          <w:lang w:val="en-GB"/>
        </w:rPr>
        <w:t>.</w:t>
      </w:r>
    </w:p>
    <w:p w14:paraId="5A97073F" w14:textId="0DAC1CD9" w:rsidR="00A7775E" w:rsidRPr="001177AF" w:rsidRDefault="009F0C3A" w:rsidP="002920C7">
      <w:pPr>
        <w:spacing w:line="360" w:lineRule="auto"/>
        <w:jc w:val="both"/>
        <w:rPr>
          <w:lang w:val="en-GB"/>
        </w:rPr>
      </w:pPr>
      <w:r w:rsidRPr="001177AF">
        <w:rPr>
          <w:lang w:val="en-GB"/>
        </w:rPr>
        <w:t xml:space="preserve">The </w:t>
      </w:r>
      <w:r w:rsidR="00A7775E" w:rsidRPr="001177AF">
        <w:rPr>
          <w:lang w:val="en-GB"/>
        </w:rPr>
        <w:t>primary objective of the work presented in the first manuscript was to develop</w:t>
      </w:r>
      <w:r w:rsidR="00AC4D25" w:rsidRPr="001177AF">
        <w:rPr>
          <w:lang w:val="en-GB"/>
        </w:rPr>
        <w:t xml:space="preserve"> an open-source, modular platform for digital phenotyping with a focus on privacy and security (68).</w:t>
      </w:r>
      <w:r w:rsidR="006B04BD" w:rsidRPr="001177AF">
        <w:rPr>
          <w:lang w:val="en-GB"/>
        </w:rPr>
        <w:t xml:space="preserve"> The resulting solution,</w:t>
      </w:r>
      <w:r w:rsidR="00AC4D25" w:rsidRPr="001177AF">
        <w:rPr>
          <w:lang w:val="en-GB"/>
        </w:rPr>
        <w:t xml:space="preserve"> </w:t>
      </w:r>
      <w:r w:rsidR="004E0CB0" w:rsidRPr="001177AF">
        <w:rPr>
          <w:lang w:val="en-GB"/>
        </w:rPr>
        <w:t>"</w:t>
      </w:r>
      <w:r w:rsidR="00AC4D25" w:rsidRPr="001177AF">
        <w:rPr>
          <w:lang w:val="en-GB"/>
        </w:rPr>
        <w:t>JTrack</w:t>
      </w:r>
      <w:r w:rsidR="004E0CB0" w:rsidRPr="001177AF">
        <w:rPr>
          <w:lang w:val="en-GB"/>
        </w:rPr>
        <w:t>"</w:t>
      </w:r>
      <w:r w:rsidR="006B04BD" w:rsidRPr="001177AF">
        <w:rPr>
          <w:lang w:val="en-GB"/>
        </w:rPr>
        <w:t>, was</w:t>
      </w:r>
      <w:r w:rsidR="00AC4D25" w:rsidRPr="001177AF">
        <w:rPr>
          <w:lang w:val="en-GB"/>
        </w:rPr>
        <w:t xml:space="preserve"> developed based on </w:t>
      </w:r>
      <w:r w:rsidR="001619F2" w:rsidRPr="001177AF">
        <w:rPr>
          <w:lang w:val="en-GB"/>
        </w:rPr>
        <w:t xml:space="preserve">these criteria </w:t>
      </w:r>
      <w:r w:rsidR="00740F8D" w:rsidRPr="001177AF">
        <w:rPr>
          <w:lang w:val="en-GB"/>
        </w:rPr>
        <w:t xml:space="preserve">to </w:t>
      </w:r>
      <w:r w:rsidR="00572C15" w:rsidRPr="001177AF">
        <w:rPr>
          <w:lang w:val="en-GB"/>
        </w:rPr>
        <w:t>facilitate</w:t>
      </w:r>
      <w:r w:rsidR="006B04BD" w:rsidRPr="001177AF">
        <w:rPr>
          <w:lang w:val="en-GB"/>
        </w:rPr>
        <w:t xml:space="preserve"> </w:t>
      </w:r>
      <w:r w:rsidR="00AC4D25" w:rsidRPr="001177AF">
        <w:rPr>
          <w:lang w:val="en-GB"/>
        </w:rPr>
        <w:t>unobstructed and remote sensor-based psychiatric and neurological disorders</w:t>
      </w:r>
      <w:r w:rsidR="00A7775E" w:rsidRPr="001177AF">
        <w:rPr>
          <w:lang w:val="en-GB"/>
        </w:rPr>
        <w:t xml:space="preserve"> monitoring</w:t>
      </w:r>
      <w:r w:rsidR="00AC4D25" w:rsidRPr="001177AF">
        <w:rPr>
          <w:lang w:val="en-GB"/>
        </w:rPr>
        <w:t>.</w:t>
      </w:r>
      <w:r w:rsidR="006B04BD" w:rsidRPr="001177AF">
        <w:rPr>
          <w:lang w:val="en-GB"/>
        </w:rPr>
        <w:t xml:space="preserve"> </w:t>
      </w:r>
      <w:r w:rsidR="0005653C" w:rsidRPr="001177AF">
        <w:rPr>
          <w:lang w:val="en-GB"/>
        </w:rPr>
        <w:t>At the same time,</w:t>
      </w:r>
      <w:r w:rsidR="006B04BD" w:rsidRPr="001177AF">
        <w:rPr>
          <w:lang w:val="en-GB"/>
        </w:rPr>
        <w:t xml:space="preserve"> </w:t>
      </w:r>
      <w:r w:rsidR="0005653C" w:rsidRPr="001177AF">
        <w:rPr>
          <w:lang w:val="en-GB"/>
        </w:rPr>
        <w:t>it addresses</w:t>
      </w:r>
      <w:r w:rsidR="00AC4D25" w:rsidRPr="001177AF">
        <w:rPr>
          <w:lang w:val="en-GB"/>
        </w:rPr>
        <w:t xml:space="preserve"> </w:t>
      </w:r>
      <w:r w:rsidR="00A50E34" w:rsidRPr="001177AF">
        <w:rPr>
          <w:lang w:val="en-GB"/>
        </w:rPr>
        <w:t xml:space="preserve">the </w:t>
      </w:r>
      <w:r w:rsidR="00AC4D25" w:rsidRPr="001177AF">
        <w:rPr>
          <w:lang w:val="en-GB"/>
        </w:rPr>
        <w:t>major shortcoming</w:t>
      </w:r>
      <w:r w:rsidR="00381E56" w:rsidRPr="001177AF">
        <w:rPr>
          <w:lang w:val="en-GB"/>
        </w:rPr>
        <w:t>s</w:t>
      </w:r>
      <w:r w:rsidR="00AC4D25" w:rsidRPr="001177AF">
        <w:rPr>
          <w:lang w:val="en-GB"/>
        </w:rPr>
        <w:t xml:space="preserve"> of existing platforms. </w:t>
      </w:r>
      <w:r w:rsidR="004E0CB0" w:rsidRPr="001177AF">
        <w:rPr>
          <w:lang w:val="en-GB"/>
        </w:rPr>
        <w:t>"</w:t>
      </w:r>
      <w:r w:rsidR="006B04BD" w:rsidRPr="001177AF">
        <w:rPr>
          <w:lang w:val="en-GB"/>
        </w:rPr>
        <w:t>JTrack</w:t>
      </w:r>
      <w:r w:rsidR="004E0CB0" w:rsidRPr="001177AF">
        <w:rPr>
          <w:lang w:val="en-GB"/>
        </w:rPr>
        <w:t>"</w:t>
      </w:r>
      <w:r w:rsidR="006B04BD" w:rsidRPr="001177AF">
        <w:rPr>
          <w:lang w:val="en-GB"/>
        </w:rPr>
        <w:t xml:space="preserve"> complies with GDPR security and privacy regulations, making it trustworthy and available through official application stores (Google Play and Apple Store). This </w:t>
      </w:r>
      <w:proofErr w:type="gramStart"/>
      <w:r w:rsidR="006B04BD" w:rsidRPr="001177AF">
        <w:rPr>
          <w:lang w:val="en-GB"/>
        </w:rPr>
        <w:t>is in contrast to</w:t>
      </w:r>
      <w:proofErr w:type="gramEnd"/>
      <w:r w:rsidR="006B04BD" w:rsidRPr="001177AF">
        <w:rPr>
          <w:lang w:val="en-GB"/>
        </w:rPr>
        <w:t xml:space="preserve"> some evaluated platforms that lack this level of trust and security as they rely on online distribution methods</w:t>
      </w:r>
      <w:r w:rsidR="00A7775E" w:rsidRPr="001177AF">
        <w:rPr>
          <w:lang w:val="en-GB"/>
        </w:rPr>
        <w:t>.</w:t>
      </w:r>
    </w:p>
    <w:p w14:paraId="10AA9C01" w14:textId="75B9AE1D" w:rsidR="00EE553F" w:rsidRPr="001177AF" w:rsidRDefault="006B04BD" w:rsidP="002920C7">
      <w:pPr>
        <w:spacing w:line="360" w:lineRule="auto"/>
        <w:jc w:val="both"/>
        <w:rPr>
          <w:lang w:val="en-GB"/>
        </w:rPr>
      </w:pPr>
      <w:r w:rsidRPr="001177AF">
        <w:rPr>
          <w:lang w:val="en-GB"/>
        </w:rPr>
        <w:t xml:space="preserve">Additionally, </w:t>
      </w:r>
      <w:r w:rsidR="004E0CB0" w:rsidRPr="001177AF">
        <w:rPr>
          <w:lang w:val="en-GB"/>
        </w:rPr>
        <w:t>"</w:t>
      </w:r>
      <w:r w:rsidRPr="001177AF">
        <w:rPr>
          <w:lang w:val="en-GB"/>
        </w:rPr>
        <w:t>JTrack</w:t>
      </w:r>
      <w:r w:rsidR="004E0CB0" w:rsidRPr="001177AF">
        <w:rPr>
          <w:lang w:val="en-GB"/>
        </w:rPr>
        <w:t>"</w:t>
      </w:r>
      <w:r w:rsidRPr="001177AF">
        <w:rPr>
          <w:lang w:val="en-GB"/>
        </w:rPr>
        <w:t xml:space="preserve"> reduces the impact of technical failures and missing data through optimal </w:t>
      </w:r>
      <w:r w:rsidR="00A7775E" w:rsidRPr="001177AF">
        <w:rPr>
          <w:lang w:val="en-GB"/>
        </w:rPr>
        <w:t>battery and memory use</w:t>
      </w:r>
      <w:r w:rsidRPr="001177AF">
        <w:rPr>
          <w:lang w:val="en-GB"/>
        </w:rPr>
        <w:t>.</w:t>
      </w:r>
      <w:r w:rsidR="007A4F11" w:rsidRPr="001177AF">
        <w:rPr>
          <w:lang w:val="en-GB"/>
        </w:rPr>
        <w:t xml:space="preserve"> Lastly, </w:t>
      </w:r>
      <w:r w:rsidR="00381E56" w:rsidRPr="001177AF">
        <w:rPr>
          <w:lang w:val="en-GB"/>
        </w:rPr>
        <w:t>while</w:t>
      </w:r>
      <w:r w:rsidR="00AC4D25" w:rsidRPr="001177AF">
        <w:rPr>
          <w:lang w:val="en-GB"/>
        </w:rPr>
        <w:t xml:space="preserve"> the motor manifestation</w:t>
      </w:r>
      <w:r w:rsidR="009C50C5" w:rsidRPr="001177AF">
        <w:rPr>
          <w:lang w:val="en-GB"/>
        </w:rPr>
        <w:t>s</w:t>
      </w:r>
      <w:r w:rsidR="00AC4D25" w:rsidRPr="001177AF">
        <w:rPr>
          <w:lang w:val="en-GB"/>
        </w:rPr>
        <w:t xml:space="preserve"> of neurodegenerative diseases</w:t>
      </w:r>
      <w:r w:rsidR="00381E56" w:rsidRPr="001177AF">
        <w:rPr>
          <w:lang w:val="en-GB"/>
        </w:rPr>
        <w:t xml:space="preserve">, </w:t>
      </w:r>
      <w:r w:rsidR="00AC4D25" w:rsidRPr="001177AF">
        <w:rPr>
          <w:lang w:val="en-GB"/>
        </w:rPr>
        <w:t xml:space="preserve">particularly </w:t>
      </w:r>
      <w:r w:rsidR="00381E56" w:rsidRPr="001177AF">
        <w:rPr>
          <w:lang w:val="en-GB"/>
        </w:rPr>
        <w:t xml:space="preserve">PD, </w:t>
      </w:r>
      <w:r w:rsidR="009C50C5" w:rsidRPr="001177AF">
        <w:rPr>
          <w:lang w:val="en-GB"/>
        </w:rPr>
        <w:t>are</w:t>
      </w:r>
      <w:r w:rsidR="00AC4D25" w:rsidRPr="001177AF">
        <w:rPr>
          <w:lang w:val="en-GB"/>
        </w:rPr>
        <w:t xml:space="preserve"> the most studied, </w:t>
      </w:r>
      <w:r w:rsidR="00381E56" w:rsidRPr="001177AF">
        <w:rPr>
          <w:lang w:val="en-GB"/>
        </w:rPr>
        <w:t xml:space="preserve">the </w:t>
      </w:r>
      <w:r w:rsidR="00AC4D25" w:rsidRPr="001177AF">
        <w:rPr>
          <w:lang w:val="en-GB"/>
        </w:rPr>
        <w:t xml:space="preserve">non-motor manifestations are barely studied using remote monitoring methods, owing to the difficulty of collecting and integrating relative modules in current </w:t>
      </w:r>
      <w:r w:rsidR="00FA187F" w:rsidRPr="001177AF">
        <w:rPr>
          <w:lang w:val="en-GB"/>
        </w:rPr>
        <w:t>platforms. In</w:t>
      </w:r>
      <w:r w:rsidR="00AC4D25" w:rsidRPr="001177AF">
        <w:rPr>
          <w:lang w:val="en-GB"/>
        </w:rPr>
        <w:t xml:space="preserve"> this regard, the modular architecture and </w:t>
      </w:r>
      <w:r w:rsidR="00381E56" w:rsidRPr="001177AF">
        <w:rPr>
          <w:lang w:val="en-GB"/>
        </w:rPr>
        <w:t>reusability</w:t>
      </w:r>
      <w:r w:rsidR="00AC4D25" w:rsidRPr="001177AF">
        <w:rPr>
          <w:lang w:val="en-GB"/>
        </w:rPr>
        <w:t xml:space="preserve"> functionalities of </w:t>
      </w:r>
      <w:r w:rsidR="004E0CB0" w:rsidRPr="001177AF">
        <w:rPr>
          <w:lang w:val="en-GB"/>
        </w:rPr>
        <w:t>"</w:t>
      </w:r>
      <w:r w:rsidR="00AC4D25" w:rsidRPr="001177AF">
        <w:rPr>
          <w:lang w:val="en-GB"/>
        </w:rPr>
        <w:t>JTrack</w:t>
      </w:r>
      <w:r w:rsidR="004E0CB0" w:rsidRPr="001177AF">
        <w:rPr>
          <w:lang w:val="en-GB"/>
        </w:rPr>
        <w:t>"</w:t>
      </w:r>
      <w:r w:rsidR="00AC4D25" w:rsidRPr="001177AF">
        <w:rPr>
          <w:lang w:val="en-GB"/>
        </w:rPr>
        <w:t xml:space="preserve"> enable the researchers to easily add or remove their required features from a list of collected data. </w:t>
      </w:r>
    </w:p>
    <w:p w14:paraId="57A2FF57" w14:textId="5DC3D4C8" w:rsidR="00080A83" w:rsidRPr="001177AF" w:rsidRDefault="000C3E25" w:rsidP="002920C7">
      <w:pPr>
        <w:spacing w:line="360" w:lineRule="auto"/>
        <w:jc w:val="both"/>
        <w:rPr>
          <w:lang w:val="en-GB"/>
        </w:rPr>
      </w:pPr>
      <w:r w:rsidRPr="001177AF">
        <w:rPr>
          <w:lang w:val="en-GB"/>
        </w:rPr>
        <w:t>In the second manuscript</w:t>
      </w:r>
      <w:r w:rsidR="00CE14AA" w:rsidRPr="001177AF">
        <w:rPr>
          <w:lang w:val="en-GB"/>
        </w:rPr>
        <w:t xml:space="preserve"> </w:t>
      </w:r>
      <w:r w:rsidR="00AC4FA5" w:rsidRPr="001177AF">
        <w:rPr>
          <w:lang w:val="en-GB"/>
        </w:rPr>
        <w:fldChar w:fldCharType="begin"/>
      </w:r>
      <w:r w:rsidR="00726C10" w:rsidRPr="001177AF">
        <w:rPr>
          <w:lang w:val="en-GB"/>
        </w:rPr>
        <w:instrText>ADDIN F1000_CSL_CITATION&lt;~#@#~&gt;[{"DOI":"10.3390/s22134975","First":false,"Last":false,"PMCID":"PMC9269735","PMID":"35808470","abstract":"There are currently no standard methods for evaluating gait and balance performance at home. Smartphones include acceleration sensors and may represent a promising and easily accessible tool for this purpose. We performed an interventional feasibility study and compared a smartphone-based approach with two standard gait analysis systems (force plate and motion capturing systems). Healthy adults (n = 25, 44.1 ± 18.4 years) completed two laboratory evaluations before and after a three-week gait and balance training at home. There was an excellent agreement between all systems for stride time and cadence during normal, tandem and backward gait, whereas correlations for gait velocity were lower. Balance variables of both standard systems were moderately intercorrelated across all stance tasks, but only few correlated with the corresponding smartphone measures. Significant differences over time were found for several force plate and mocap system-obtained gait variables of normal, backward and tandem gait. Changes in balance variables over time were more heterogeneous and not significant for any system. The smartphone seems to be a suitable method to measure cadence and stride time of different gait, but not balance, tasks in healthy adults. Additional optimizations in data evaluation and processing may further improve the agreement between the analysis systems.","author":[{"family":"Rentz","given":"Clara"},{"family":"Far","given":"Mehran Sahandi"},{"family":"Boltes","given":"Maik"},{"family":"Schnitzler","given":"Alfons"},{"family":"Amunts","given":"Katrin"},{"family":"Dukart","given":"Juergen"},{"family":"Minnerop","given":"Martina"}],"authorYearDisplayFormat":false,"citation-label":"14399569","container-title":"Sensors (Basel, Switzerland)","container-title-short":"Sensors","id":"14399569","invisible":false,"issue":"13","issued":{"date-parts":[["2022","6","30"]]},"journalAbbreviation":"Sensors","suppress-author":false,"title":"System Comparison for Gait and Balance Monitoring Used for the Evaluation of a Home-Based Training.","type":"article-journal","volume":"22"}]</w:instrText>
      </w:r>
      <w:r w:rsidR="00AC4FA5" w:rsidRPr="001177AF">
        <w:rPr>
          <w:lang w:val="en-GB"/>
        </w:rPr>
        <w:fldChar w:fldCharType="separate"/>
      </w:r>
      <w:r w:rsidR="00726C10" w:rsidRPr="001177AF">
        <w:rPr>
          <w:noProof/>
          <w:lang w:val="en-GB"/>
        </w:rPr>
        <w:t>(68)</w:t>
      </w:r>
      <w:r w:rsidR="00AC4FA5" w:rsidRPr="001177AF">
        <w:rPr>
          <w:lang w:val="en-GB"/>
        </w:rPr>
        <w:fldChar w:fldCharType="end"/>
      </w:r>
      <w:r w:rsidRPr="001177AF">
        <w:rPr>
          <w:lang w:val="en-GB"/>
        </w:rPr>
        <w:t xml:space="preserve">, </w:t>
      </w:r>
      <w:r w:rsidR="009C50C5" w:rsidRPr="001177AF">
        <w:rPr>
          <w:lang w:val="en-GB"/>
        </w:rPr>
        <w:t xml:space="preserve">we compared </w:t>
      </w:r>
      <w:r w:rsidR="004E0CB0" w:rsidRPr="001177AF">
        <w:rPr>
          <w:lang w:val="en-GB"/>
        </w:rPr>
        <w:t>"</w:t>
      </w:r>
      <w:r w:rsidR="009C50C5" w:rsidRPr="001177AF">
        <w:rPr>
          <w:lang w:val="en-GB"/>
        </w:rPr>
        <w:t>JTrack</w:t>
      </w:r>
      <w:r w:rsidR="004E0CB0" w:rsidRPr="001177AF">
        <w:rPr>
          <w:lang w:val="en-GB"/>
        </w:rPr>
        <w:t>"</w:t>
      </w:r>
      <w:r w:rsidR="009C50C5" w:rsidRPr="001177AF">
        <w:rPr>
          <w:lang w:val="en-GB"/>
        </w:rPr>
        <w:t xml:space="preserve"> with two stationary gait analysis systems (a force plate and a motion capture system). We found a high level of agreement between data collected from single accelerometer sensors using the </w:t>
      </w:r>
      <w:r w:rsidR="004E0CB0" w:rsidRPr="001177AF">
        <w:rPr>
          <w:lang w:val="en-GB"/>
        </w:rPr>
        <w:t>"</w:t>
      </w:r>
      <w:r w:rsidR="009C50C5" w:rsidRPr="001177AF">
        <w:rPr>
          <w:lang w:val="en-GB"/>
        </w:rPr>
        <w:t>JTrack</w:t>
      </w:r>
      <w:r w:rsidR="004E0CB0" w:rsidRPr="001177AF">
        <w:rPr>
          <w:lang w:val="en-GB"/>
        </w:rPr>
        <w:t>"</w:t>
      </w:r>
      <w:r w:rsidR="009C50C5" w:rsidRPr="001177AF">
        <w:rPr>
          <w:lang w:val="en-GB"/>
        </w:rPr>
        <w:t xml:space="preserve"> application and stationary analysis systems, demonstrating the utility of smartphones in future clinical studies of gait. We have shown that features such as stride time and cadence variables, clinically meaningful outcomes of locomotor tasks, can be accurately derived from smartphones and used in a normal-gait analysis. However, we </w:t>
      </w:r>
      <w:proofErr w:type="gramStart"/>
      <w:r w:rsidR="009C50C5" w:rsidRPr="001177AF">
        <w:rPr>
          <w:lang w:val="en-GB"/>
        </w:rPr>
        <w:t>came to the conclusion</w:t>
      </w:r>
      <w:proofErr w:type="gramEnd"/>
      <w:r w:rsidR="009C50C5" w:rsidRPr="001177AF">
        <w:rPr>
          <w:lang w:val="en-GB"/>
        </w:rPr>
        <w:t xml:space="preserve"> that measuring in particular stance variables has limitations, such as the need for initial calibration or a </w:t>
      </w:r>
      <w:r w:rsidR="004E0CB0" w:rsidRPr="001177AF">
        <w:rPr>
          <w:lang w:val="en-GB"/>
        </w:rPr>
        <w:t>device's</w:t>
      </w:r>
      <w:r w:rsidR="009C50C5" w:rsidRPr="001177AF">
        <w:rPr>
          <w:lang w:val="en-GB"/>
        </w:rPr>
        <w:t xml:space="preserve"> fixed orientation and position in the reference recording. </w:t>
      </w:r>
    </w:p>
    <w:p w14:paraId="1DBF02C2" w14:textId="3F9785B8" w:rsidR="00B204AB" w:rsidRPr="001177AF" w:rsidRDefault="00FC5B74" w:rsidP="00B204AB">
      <w:pPr>
        <w:spacing w:line="360" w:lineRule="auto"/>
        <w:jc w:val="both"/>
        <w:rPr>
          <w:lang w:val="en-GB"/>
        </w:rPr>
      </w:pPr>
      <w:r w:rsidRPr="001177AF">
        <w:rPr>
          <w:lang w:val="en-GB"/>
        </w:rPr>
        <w:lastRenderedPageBreak/>
        <w:t>The DB</w:t>
      </w:r>
      <w:r w:rsidR="00F01060" w:rsidRPr="001177AF">
        <w:rPr>
          <w:lang w:val="en-GB"/>
        </w:rPr>
        <w:t>s</w:t>
      </w:r>
      <w:r w:rsidRPr="001177AF">
        <w:rPr>
          <w:lang w:val="en-GB"/>
        </w:rPr>
        <w:t xml:space="preserve"> </w:t>
      </w:r>
      <w:r w:rsidR="00F01060" w:rsidRPr="001177AF">
        <w:rPr>
          <w:lang w:val="en-GB"/>
        </w:rPr>
        <w:t xml:space="preserve">are </w:t>
      </w:r>
      <w:r w:rsidRPr="001177AF">
        <w:rPr>
          <w:lang w:val="en-GB"/>
        </w:rPr>
        <w:t>inherently prone to different sources of variation. Recent studies</w:t>
      </w:r>
      <w:r w:rsidR="00A5605D" w:rsidRPr="001177AF">
        <w:rPr>
          <w:lang w:val="en-GB"/>
        </w:rPr>
        <w:t xml:space="preserve"> </w:t>
      </w:r>
      <w:r w:rsidR="009C50C5" w:rsidRPr="001177AF">
        <w:rPr>
          <w:lang w:val="en-GB"/>
        </w:rPr>
        <w:t xml:space="preserve">that </w:t>
      </w:r>
      <w:r w:rsidRPr="001177AF">
        <w:rPr>
          <w:lang w:val="en-GB"/>
        </w:rPr>
        <w:t>have demonstrated the feasibility of</w:t>
      </w:r>
      <w:r w:rsidR="00A5605D" w:rsidRPr="001177AF">
        <w:rPr>
          <w:lang w:val="en-GB"/>
        </w:rPr>
        <w:t xml:space="preserve"> using</w:t>
      </w:r>
      <w:r w:rsidRPr="001177AF">
        <w:rPr>
          <w:lang w:val="en-GB"/>
        </w:rPr>
        <w:t xml:space="preserve"> DBs in PD</w:t>
      </w:r>
      <w:r w:rsidR="00A5605D" w:rsidRPr="001177AF">
        <w:rPr>
          <w:lang w:val="en-GB"/>
        </w:rPr>
        <w:t xml:space="preserve"> </w:t>
      </w:r>
      <w:r w:rsidR="002328D5" w:rsidRPr="001177AF">
        <w:rPr>
          <w:lang w:val="en-GB"/>
        </w:rPr>
        <w:t xml:space="preserve">have </w:t>
      </w:r>
      <w:r w:rsidR="00A7775E" w:rsidRPr="001177AF">
        <w:rPr>
          <w:lang w:val="en-GB"/>
        </w:rPr>
        <w:t>mainly</w:t>
      </w:r>
      <w:r w:rsidRPr="001177AF">
        <w:rPr>
          <w:lang w:val="en-GB"/>
        </w:rPr>
        <w:t xml:space="preserve"> focused on in-laboratory settings,</w:t>
      </w:r>
      <w:r w:rsidR="00A5605D" w:rsidRPr="001177AF">
        <w:rPr>
          <w:lang w:val="en-GB"/>
        </w:rPr>
        <w:t xml:space="preserve"> therefore,</w:t>
      </w:r>
      <w:r w:rsidRPr="001177AF">
        <w:rPr>
          <w:lang w:val="en-GB"/>
        </w:rPr>
        <w:t xml:space="preserve"> validation and reliability studies </w:t>
      </w:r>
      <w:r w:rsidR="002328D5" w:rsidRPr="001177AF">
        <w:rPr>
          <w:lang w:val="en-GB"/>
        </w:rPr>
        <w:t>are</w:t>
      </w:r>
      <w:r w:rsidR="00B204AB" w:rsidRPr="001177AF">
        <w:rPr>
          <w:lang w:val="en-GB"/>
        </w:rPr>
        <w:t xml:space="preserve"> </w:t>
      </w:r>
      <w:r w:rsidRPr="001177AF">
        <w:rPr>
          <w:lang w:val="en-GB"/>
        </w:rPr>
        <w:t xml:space="preserve">still lacking for home environments. </w:t>
      </w:r>
      <w:r w:rsidR="000C3E25" w:rsidRPr="001177AF">
        <w:rPr>
          <w:lang w:val="en-GB"/>
        </w:rPr>
        <w:t>In the third manuscript</w:t>
      </w:r>
      <w:r w:rsidR="00EE37FF" w:rsidRPr="001177AF">
        <w:rPr>
          <w:lang w:val="en-GB"/>
        </w:rPr>
        <w:t xml:space="preserve"> </w:t>
      </w:r>
      <w:r w:rsidR="00EE37FF" w:rsidRPr="001177AF">
        <w:rPr>
          <w:lang w:val="en-GB"/>
        </w:rPr>
        <w:fldChar w:fldCharType="begin"/>
      </w:r>
      <w:r w:rsidR="00726C10" w:rsidRPr="001177AF">
        <w:rPr>
          <w:lang w:val="en-GB"/>
        </w:rPr>
        <w:instrText>ADDIN F1000_CSL_CITATION&lt;~#@#~&gt;[{"DOI":"10.2196/26608","First":false,"Last":false,"PMCID":"PMC8477293","PMID":"34515645","abstract":"&lt;strong&gt;BACKGROUND:&lt;/strong&gt; Digital biomarkers (DB), as captured using sensors embedded in modern smart devices, are a promising technology for home-based sign and symptom monitoring in Parkinson disease (PD).&lt;br&gt;&lt;br&gt;&lt;strong&gt;OBJECTIVE:&lt;/strong&gt; Despite extensive application in recent studies, test-retest reliability and longitudinal stability of DB have not been well addressed in this context. We utilized the large-scale m-Power data set to establish the test-retest reliability and longitudinal stability of gait, balance, voice, and tapping tasks in an unsupervised and self-administered daily life setting in patients with PD and healthy controls (HC).&lt;br&gt;&lt;br&gt;&lt;strong&gt;METHODS:&lt;/strong&gt; Intraclass correlation coefficients were computed to estimate the test-retest reliability of features that also differentiate between patients with PD and healthy volunteers. In addition, we tested for longitudinal stability of DB measures in PD and HC, as well as for their sensitivity to PD medication effects.&lt;br&gt;&lt;br&gt;&lt;strong&gt;RESULTS:&lt;/strong&gt; Among the features differing between PD and HC, only a few tapping and voice features had good to excellent test-retest reliabilities and medium to large effect sizes. All other features performed poorly in this respect. Only a few features were sensitive to medication effects. The longitudinal analyses revealed significant alterations over time across a variety of features and in particular for the tapping task.&lt;br&gt;&lt;br&gt;&lt;strong&gt;CONCLUSIONS:&lt;/strong&gt; These results indicate the need for further development of more standardized, sensitive, and reliable DB for application in self-administered remote studies in patients with PD. Motivational, learning, and other confounders may cause variations in performance that need to be considered in DB longitudinal applications.&lt;br&gt;&lt;br&gt;©Mehran Sahandi Far, Simon B Eickhoff, Maria Goni, Juergen Dukart. Originally published in the Journal of Medical Internet Research (https://www.jmir.org), 13.09.2021.","author":[{"family":"Sahandi Far","given":"Mehran"},{"family":"Eickhoff","given":"Simon B"},{"family":"Goni","given":"Maria"},{"family":"Dukart","given":"Juergen"}],"authorYearDisplayFormat":false,"citation-label":"13129673","container-title":"Journal of Medical Internet Research","container-title-short":"J. Med. Internet Res.","id":"13129673","invisible":false,"issue":"9","issued":{"date-parts":[["2021","9","13"]]},"journalAbbreviation":"J. Med. Internet Res.","page":"e26608","suppress-author":false,"title":"Exploring Test-Retest Reliability and Longitudinal Stability of Digital Biomarkers for Parkinson Disease in the m-Power Data Set: Cohort Study.","type":"article-journal","volume":"23"}]</w:instrText>
      </w:r>
      <w:r w:rsidR="00EE37FF" w:rsidRPr="001177AF">
        <w:rPr>
          <w:lang w:val="en-GB"/>
        </w:rPr>
        <w:fldChar w:fldCharType="separate"/>
      </w:r>
      <w:r w:rsidR="00726C10" w:rsidRPr="001177AF">
        <w:rPr>
          <w:noProof/>
          <w:lang w:val="en-GB"/>
        </w:rPr>
        <w:t>(69)</w:t>
      </w:r>
      <w:r w:rsidR="00EE37FF" w:rsidRPr="001177AF">
        <w:rPr>
          <w:lang w:val="en-GB"/>
        </w:rPr>
        <w:fldChar w:fldCharType="end"/>
      </w:r>
      <w:r w:rsidR="000C3E25" w:rsidRPr="001177AF">
        <w:rPr>
          <w:lang w:val="en-GB"/>
        </w:rPr>
        <w:t>, we addressed this issue by evaluating the test-retest reliability</w:t>
      </w:r>
      <w:r w:rsidR="00BD2B21" w:rsidRPr="001177AF">
        <w:rPr>
          <w:lang w:val="en-GB"/>
        </w:rPr>
        <w:t xml:space="preserve"> and longitudinal stability</w:t>
      </w:r>
      <w:r w:rsidR="000C3E25" w:rsidRPr="001177AF">
        <w:rPr>
          <w:lang w:val="en-GB"/>
        </w:rPr>
        <w:t xml:space="preserve"> of DBs for PD as measured in a large-scale </w:t>
      </w:r>
      <w:r w:rsidR="007A4F11" w:rsidRPr="001177AF">
        <w:rPr>
          <w:lang w:val="en-GB"/>
        </w:rPr>
        <w:t xml:space="preserve">m-Power </w:t>
      </w:r>
      <w:r w:rsidR="000C3E25" w:rsidRPr="001177AF">
        <w:rPr>
          <w:lang w:val="en-GB"/>
        </w:rPr>
        <w:t xml:space="preserve">study using a self-administered setting </w:t>
      </w:r>
      <w:r w:rsidR="00A5605D" w:rsidRPr="001177AF">
        <w:rPr>
          <w:lang w:val="en-GB"/>
        </w:rPr>
        <w:fldChar w:fldCharType="begin"/>
      </w:r>
      <w:r w:rsidR="00726C10" w:rsidRPr="001177AF">
        <w:rPr>
          <w:lang w:val="en-GB"/>
        </w:rPr>
        <w:instrText>ADDIN F1000_CSL_CITATION&lt;~#@#~&gt;[{"DOI":"10.1038/sdata.2016.11","First":false,"Last":false,"PMCID":"PMC4776701","PMID":"26938265","abstract":"Current measures of health and disease are often insensitive, episodic, and subjective. Further, these measures generally are not designed to provide meaningful feedback to individuals. The impact of high-resolution activity data collected from mobile phones is only beginning to be explored. Here we present data from mPower, a clinical observational study about Parkinson disease conducted purely through an iPhone app interface. The study interrogated aspects of this movement disorder through surveys and frequent sensor-based recordings from participants with and without Parkinson disease. Benefitting from large enrollment and repeated measurements on many individuals, these data may help establish baseline variability of real-world activity measurement collected via mobile phones, and ultimately may lead to quantification of the ebbs-and-flows of Parkinson symptoms. App source code for these data collection modules are available through an open source license for use in studies of other conditions. We hope that releasing data contributed by engaged research participants will seed a new community of analysts working collaboratively on understanding mobile health data to advance human health.","author":[{"family":"Bot","given":"Brian M"},{"family":"Suver","given":"Christine"},{"family":"Neto","given":"Elias Chaibub"},{"family":"Kellen","given":"Michael"},{"family":"Klein","given":"Arno"},{"family":"Bare","given":"Christopher"},{"family":"Doerr","given":"Megan"},{"family":"Pratap","given":"Abhishek"},{"family":"Wilbanks","given":"John"},{"family":"Dorsey","given":"E Ray"},{"family":"Friend","given":"Stephen H"},{"family":"Trister","given":"Andrew D"}],"authorYearDisplayFormat":false,"citation-label":"3977571","container-title":"Scientific data","container-title-short":"Sci. Data","id":"3977571","invisible":false,"issued":{"date-parts":[["2016","3","3"]]},"journalAbbreviation":"Sci. Data","page":"160011","suppress-author":false,"title":"The mPower study, Parkinson disease mobile data collected using ResearchKit.","type":"article-journal","volume":"3"}]</w:instrText>
      </w:r>
      <w:r w:rsidR="00A5605D" w:rsidRPr="001177AF">
        <w:rPr>
          <w:lang w:val="en-GB"/>
        </w:rPr>
        <w:fldChar w:fldCharType="separate"/>
      </w:r>
      <w:r w:rsidR="00726C10" w:rsidRPr="001177AF">
        <w:rPr>
          <w:noProof/>
          <w:lang w:val="en-GB"/>
        </w:rPr>
        <w:t>(66)</w:t>
      </w:r>
      <w:r w:rsidR="00A5605D" w:rsidRPr="001177AF">
        <w:rPr>
          <w:lang w:val="en-GB"/>
        </w:rPr>
        <w:fldChar w:fldCharType="end"/>
      </w:r>
      <w:r w:rsidR="00A5605D" w:rsidRPr="001177AF">
        <w:rPr>
          <w:lang w:val="en-GB"/>
        </w:rPr>
        <w:t>.</w:t>
      </w:r>
      <w:r w:rsidR="009E6893" w:rsidRPr="001177AF">
        <w:rPr>
          <w:lang w:val="en-GB"/>
        </w:rPr>
        <w:t xml:space="preserve"> </w:t>
      </w:r>
      <w:r w:rsidR="00671F36" w:rsidRPr="001177AF">
        <w:rPr>
          <w:lang w:val="en-GB"/>
        </w:rPr>
        <w:t xml:space="preserve">We observed </w:t>
      </w:r>
      <w:r w:rsidR="00562659" w:rsidRPr="001177AF">
        <w:rPr>
          <w:lang w:val="en-GB"/>
        </w:rPr>
        <w:t>a significant</w:t>
      </w:r>
      <w:r w:rsidR="00671F36" w:rsidRPr="001177AF">
        <w:rPr>
          <w:lang w:val="en-GB"/>
        </w:rPr>
        <w:t xml:space="preserve"> change in the longitudinal performance of</w:t>
      </w:r>
      <w:r w:rsidR="00562659" w:rsidRPr="001177AF">
        <w:rPr>
          <w:lang w:val="en-GB"/>
        </w:rPr>
        <w:t xml:space="preserve"> most </w:t>
      </w:r>
      <w:r w:rsidR="00A7775E" w:rsidRPr="001177AF">
        <w:rPr>
          <w:lang w:val="en-GB"/>
        </w:rPr>
        <w:t>DBs, resulting</w:t>
      </w:r>
      <w:r w:rsidR="00562659" w:rsidRPr="001177AF">
        <w:rPr>
          <w:lang w:val="en-GB"/>
        </w:rPr>
        <w:t xml:space="preserve"> in poor differentiation </w:t>
      </w:r>
      <w:r w:rsidR="002328D5" w:rsidRPr="001177AF">
        <w:rPr>
          <w:lang w:val="en-GB"/>
        </w:rPr>
        <w:t>between</w:t>
      </w:r>
      <w:r w:rsidR="00562659" w:rsidRPr="001177AF">
        <w:rPr>
          <w:lang w:val="en-GB"/>
        </w:rPr>
        <w:t xml:space="preserve"> PD and HC.</w:t>
      </w:r>
      <w:r w:rsidR="00671F36" w:rsidRPr="001177AF">
        <w:rPr>
          <w:lang w:val="en-GB"/>
        </w:rPr>
        <w:t xml:space="preserve"> </w:t>
      </w:r>
      <w:r w:rsidR="00B57EC6" w:rsidRPr="001177AF">
        <w:rPr>
          <w:lang w:val="en-GB"/>
        </w:rPr>
        <w:t>We attributed this finding to the presence of differential learning and variation in motivation between the two groups</w:t>
      </w:r>
      <w:r w:rsidR="00562659" w:rsidRPr="001177AF">
        <w:rPr>
          <w:lang w:val="en-GB"/>
        </w:rPr>
        <w:t xml:space="preserve">. </w:t>
      </w:r>
      <w:r w:rsidR="00671F36" w:rsidRPr="001177AF">
        <w:rPr>
          <w:lang w:val="en-GB"/>
        </w:rPr>
        <w:t xml:space="preserve">Motivation and learning effects are two barely studied </w:t>
      </w:r>
      <w:r w:rsidR="00562659" w:rsidRPr="001177AF">
        <w:rPr>
          <w:lang w:val="en-GB"/>
        </w:rPr>
        <w:t>sources</w:t>
      </w:r>
      <w:r w:rsidR="00671F36" w:rsidRPr="001177AF">
        <w:rPr>
          <w:lang w:val="en-GB"/>
        </w:rPr>
        <w:t xml:space="preserve"> of confounds that impact the longitudinal stability of DBs. </w:t>
      </w:r>
      <w:r w:rsidR="00B57EC6" w:rsidRPr="001177AF">
        <w:rPr>
          <w:lang w:val="en-GB"/>
        </w:rPr>
        <w:t xml:space="preserve">Although learning has been identified as a crucial factor that can influence a </w:t>
      </w:r>
      <w:r w:rsidR="004E0CB0" w:rsidRPr="001177AF">
        <w:rPr>
          <w:lang w:val="en-GB"/>
        </w:rPr>
        <w:t>participant's</w:t>
      </w:r>
      <w:r w:rsidR="00B57EC6" w:rsidRPr="001177AF">
        <w:rPr>
          <w:lang w:val="en-GB"/>
        </w:rPr>
        <w:t xml:space="preserve"> performance over time</w:t>
      </w:r>
      <w:r w:rsidR="00671F36" w:rsidRPr="001177AF">
        <w:rPr>
          <w:lang w:val="en-GB"/>
        </w:rPr>
        <w:t xml:space="preserve"> </w:t>
      </w:r>
      <w:r w:rsidR="00671F36" w:rsidRPr="001177AF">
        <w:rPr>
          <w:lang w:val="en-GB"/>
        </w:rPr>
        <w:fldChar w:fldCharType="begin"/>
      </w:r>
      <w:r w:rsidR="00726C10" w:rsidRPr="001177AF">
        <w:rPr>
          <w:lang w:val="en-GB"/>
        </w:rPr>
        <w:instrText>ADDIN F1000_CSL_CITATION&lt;~#@#~&gt;[{"DOI":"10.3389/fneur.2019.00062","First":false,"Last":false,"PMCID":"PMC6374315","PMID":"30792688","abstract":"Parkinson's disease (PD) is a neurological disorder traditionally associated with degeneration of the dopaminergic neurons within the substantia nigra, which results in bradykinesia, rigidity, tremor, and postural instability and gait disability (PIGD). The disorder has also been implicated in degradation of motor learning. While individuals with PD are able to learn, certain aspects of learning, especially automatic responses to feedback, are faulty, resulting in a reliance on feedforward systems of movement learning and control. Because of this, patients with PD may require more training to achieve and retain motor learning and may require additional sensory information or motor guidance in order to facilitate this learning. Furthermore, they may be unable to maintain these gains in environments and situations in which conscious effort is divided (such as dual-tasking). These shortcomings in motor learning could play a large part in degenerative gait and balance symptoms often seen in the disease, as patients are unable to adapt to gradual sensory and motor degradation. Research has shown that physical and exercise therapy can help patients with PD to adapt new feedforward strategies to partially counteract these symptoms. In particular, balance, treadmill, resistance, and repeated perturbation training therapies have been shown to improve motor patterns in PD. However, much research is still needed to determine which of these therapies best alleviates which symptoms of PIGD, the needed dose and intensity of these therapies, and long-term retention effects. The benefits of such technologies as augmented feedback, motorized perturbations, virtual reality, and weight-bearing assistance are also of interest. This narrative review will evaluate the effect of PD on motor learning and the effect of motor learning deficits on response to physical therapy and training programs, focusing specifically on features related to PIGD. Potential methods to strengthen therapeutic effects will be discussed.","author":[{"family":"Olson","given":"Markey"},{"family":"Lockhart","given":"Thurmon E"},{"family":"Lieberman","given":"Abraham"}],"authorYearDisplayFormat":false,"citation-label":"7309265","container-title":"Frontiers in neurology","container-title-short":"Front. Neurol.","id":"7309265","invisible":false,"issued":{"date-parts":[["2019","2","7"]]},"journalAbbreviation":"Front. Neurol.","page":"62","suppress-author":false,"title":"Motor learning deficits in parkinson's disease (PD) and their effect on training response in gait and balance: A narrative review.","type":"article-journal","volume":"10"},{"DOI":"10.1007/s002210100871","First":false,"Last":false,"PMID":"11810137","abstract":"We have been investigating motor control and learning in parkinsonian subjects. In the current study, we sought to explore the existence of deficits in procedural motor learning, which is a form of implicit motor learning where skill improves over repetitive blocks of trials. We sought to determine, in particular, whether any such deficit is accentuated during specific types or phases of learning. We would expect that those specific learning tasks would require the greatest participation of the basal ganglia. Numerous studies have found that Parkinson's disease (PD) patients may show deficits in learning. Combined with information about basal ganglia neuronal connections and activity, this led some investigators to suggest that one of the key functions of the basal ganglia is to facilitate learning. To investigate these learning deficits, we used a robotic device to generate conservative force fields that disturbed the subjects' arm movements, thereby generating a \"virtual mechanical environment\" that subjects learned to manipulate. Movements were successively grouped into blocks comprising five different conditions: motor performance, early learning, late learning, negative transfer, and aftereffect motor performance. Our results with eight right-handed PD subjects and nine age-matched controls showed a relative decrease in the rate of learning for the PD patients in all blocks, but greater differences emerged between groups during novelty phases of learning. In particular, the difference in performance during the negative transfer condition reached statistical significance, suggesting that the basal ganglia might be a key center for \"switching\" motor patterns. Our results support the hypothesis that deficiencies in procedural motor learning are characteristic of PD. They add to existing evidence which has suggested a key role for the basal ganglia when new sensorimotor mappings are required by novel task environments. Better understanding of these deficits should facilitate the rehabilitation of PD patients.","author":[{"family":"Krebs","given":"H I"},{"family":"Hogan","given":"N"},{"family":"Hening","given":"W"},{"family":"Adamovich","given":"S V"},{"family":"Poizner","given":"H"}],"authorYearDisplayFormat":false,"citation-label":"335523","container-title":"Experimental Brain Research","container-title-short":"Exp. Brain Res.","id":"335523","invisible":false,"issue":"4","issued":{"date-parts":[["2001","12"]]},"journalAbbreviation":"Exp. Brain Res.","page":"425-437","suppress-author":false,"title":"Procedural motor learning in Parkinson's disease.","type":"article-journal","volume":"141"},{"DOI":"10.1016/S0022-510X(00)00267-7","First":false,"Last":false,"abstract":"Individuals with Parkinson’s disease have difficulty initiating and performing complex, sequential movements. Practice generally leads to faster initiation and execution of movements in healthy adults, however, whether practice similarly improves motor performance in patients with Parkinson’s disease remains controversial. To assess the effects of practice on motor performance, patients with Parkinson’s disease and control subjects practiced two, rapid arm-reaching tasks with different levels of movement complexity for 120 trials each over 2 days. Response programming was studied by analyzing the overall reaction time latency of each movement and its fractionated sub-components, premotor and motor time. Practice effects were investigated by comparing pretest performance to immediate and delayed retention test performances (10-min and 48-h rest intervals, respectively). Both patients with Parkinson’s disease and control subjects improved speeded performance of sequential targeting tasks by practice and retained the improvement across both retention test intervals. Finding a learning effect for persons with Parkinson’s disease supports practice as an effective rehabilitation strategy to improve motor performance of specific tasks for patients with Parkinson’s disease.","author":[{"family":"Behrman","given":"Andrea L"},{"family":"Cauraugh","given":"James H"},{"family":"Light","given":"Kathye E"}],"authorYearDisplayFormat":false,"citation-label":"11060225","container-title":"Journal of the Neurological Sciences","container-title-short":"J. Neurol. Sci.","id":"11060225","invisible":false,"issue":"2","issued":{"date-parts":[["2000","3"]]},"journalAbbreviation":"J. Neurol. Sci.","page":"127-136","suppress-author":false,"title":"Practice as an intervention to improve speeded motor performance and motor learning in Parkinson’s disease","type":"article-journal","volume":"174"}]</w:instrText>
      </w:r>
      <w:r w:rsidR="00671F36" w:rsidRPr="001177AF">
        <w:rPr>
          <w:lang w:val="en-GB"/>
        </w:rPr>
        <w:fldChar w:fldCharType="separate"/>
      </w:r>
      <w:r w:rsidR="00726C10" w:rsidRPr="001177AF">
        <w:rPr>
          <w:noProof/>
          <w:lang w:val="en-GB"/>
        </w:rPr>
        <w:t>(70–72)</w:t>
      </w:r>
      <w:r w:rsidR="00671F36" w:rsidRPr="001177AF">
        <w:rPr>
          <w:lang w:val="en-GB"/>
        </w:rPr>
        <w:fldChar w:fldCharType="end"/>
      </w:r>
      <w:r w:rsidR="00B57EC6" w:rsidRPr="001177AF">
        <w:rPr>
          <w:lang w:val="en-GB"/>
        </w:rPr>
        <w:t xml:space="preserve">, the effect of </w:t>
      </w:r>
      <w:r w:rsidR="00671F36" w:rsidRPr="001177AF">
        <w:rPr>
          <w:lang w:val="en-GB"/>
        </w:rPr>
        <w:t>motivation</w:t>
      </w:r>
      <w:r w:rsidR="00B57EC6" w:rsidRPr="001177AF">
        <w:rPr>
          <w:lang w:val="en-GB"/>
        </w:rPr>
        <w:t xml:space="preserve"> on </w:t>
      </w:r>
      <w:r w:rsidR="004E0CB0" w:rsidRPr="001177AF">
        <w:rPr>
          <w:lang w:val="en-GB"/>
        </w:rPr>
        <w:t>DBs'</w:t>
      </w:r>
      <w:r w:rsidR="00B57EC6" w:rsidRPr="001177AF">
        <w:rPr>
          <w:lang w:val="en-GB"/>
        </w:rPr>
        <w:t xml:space="preserve"> reliability remains understudied. Our study found evidence for both aspects, highlighting the need for an investigation that explores the effect of motivation alteration and how it differs from learning effects</w:t>
      </w:r>
      <w:r w:rsidR="00671F36" w:rsidRPr="001177AF">
        <w:rPr>
          <w:lang w:val="en-GB"/>
        </w:rPr>
        <w:t xml:space="preserve">. </w:t>
      </w:r>
      <w:r w:rsidR="00740F8D" w:rsidRPr="001177AF">
        <w:rPr>
          <w:lang w:val="en-GB"/>
        </w:rPr>
        <w:t xml:space="preserve">We also noted that a </w:t>
      </w:r>
      <w:r w:rsidR="00671F36" w:rsidRPr="001177AF">
        <w:rPr>
          <w:lang w:val="en-GB"/>
        </w:rPr>
        <w:t>decrease in motivation</w:t>
      </w:r>
      <w:r w:rsidR="00740F8D" w:rsidRPr="001177AF">
        <w:rPr>
          <w:lang w:val="en-GB"/>
        </w:rPr>
        <w:t xml:space="preserve"> </w:t>
      </w:r>
      <w:r w:rsidR="00A7775E" w:rsidRPr="001177AF">
        <w:rPr>
          <w:lang w:val="en-GB"/>
        </w:rPr>
        <w:t>could</w:t>
      </w:r>
      <w:r w:rsidR="00671F36" w:rsidRPr="001177AF">
        <w:rPr>
          <w:lang w:val="en-GB"/>
        </w:rPr>
        <w:t xml:space="preserve"> </w:t>
      </w:r>
      <w:r w:rsidR="00740F8D" w:rsidRPr="001177AF">
        <w:rPr>
          <w:lang w:val="en-GB"/>
        </w:rPr>
        <w:t>impact</w:t>
      </w:r>
      <w:r w:rsidR="00671F36" w:rsidRPr="001177AF">
        <w:rPr>
          <w:lang w:val="en-GB"/>
        </w:rPr>
        <w:t xml:space="preserve"> adherence to the study, as </w:t>
      </w:r>
      <w:r w:rsidR="00740F8D" w:rsidRPr="001177AF">
        <w:rPr>
          <w:lang w:val="en-GB"/>
        </w:rPr>
        <w:t xml:space="preserve">evidenced by the limited </w:t>
      </w:r>
      <w:r w:rsidR="00671F36" w:rsidRPr="001177AF">
        <w:rPr>
          <w:lang w:val="en-GB"/>
        </w:rPr>
        <w:t xml:space="preserve">records </w:t>
      </w:r>
      <w:r w:rsidR="00740F8D" w:rsidRPr="001177AF">
        <w:rPr>
          <w:lang w:val="en-GB"/>
        </w:rPr>
        <w:t xml:space="preserve">of most participants </w:t>
      </w:r>
      <w:proofErr w:type="gramStart"/>
      <w:r w:rsidR="00740F8D" w:rsidRPr="001177AF">
        <w:rPr>
          <w:lang w:val="en-GB"/>
        </w:rPr>
        <w:t>during</w:t>
      </w:r>
      <w:r w:rsidR="00671F36" w:rsidRPr="001177AF">
        <w:rPr>
          <w:lang w:val="en-GB"/>
        </w:rPr>
        <w:t xml:space="preserve"> the course of</w:t>
      </w:r>
      <w:proofErr w:type="gramEnd"/>
      <w:r w:rsidR="00671F36" w:rsidRPr="001177AF">
        <w:rPr>
          <w:lang w:val="en-GB"/>
        </w:rPr>
        <w:t xml:space="preserve"> the study in the m-Power dataset.</w:t>
      </w:r>
    </w:p>
    <w:p w14:paraId="1FC2D5AC" w14:textId="4B374ACE" w:rsidR="001B1240" w:rsidRPr="001177AF" w:rsidRDefault="00B204AB" w:rsidP="00B204AB">
      <w:pPr>
        <w:spacing w:line="360" w:lineRule="auto"/>
        <w:jc w:val="both"/>
        <w:rPr>
          <w:lang w:val="en-GB"/>
        </w:rPr>
      </w:pPr>
      <w:r w:rsidRPr="001177AF">
        <w:rPr>
          <w:lang w:val="en-GB"/>
        </w:rPr>
        <w:t xml:space="preserve">Initial investigation of the m-Power dataset indicates that using the self-administration </w:t>
      </w:r>
      <w:r w:rsidR="005D54DC" w:rsidRPr="001177AF">
        <w:rPr>
          <w:lang w:val="en-GB"/>
        </w:rPr>
        <w:t>enrolment</w:t>
      </w:r>
      <w:r w:rsidRPr="001177AF">
        <w:rPr>
          <w:lang w:val="en-GB"/>
        </w:rPr>
        <w:t xml:space="preserve"> method may lead to several biases</w:t>
      </w:r>
      <w:r w:rsidR="00920EA3" w:rsidRPr="001177AF">
        <w:rPr>
          <w:lang w:val="en-GB"/>
        </w:rPr>
        <w:t>,</w:t>
      </w:r>
      <w:r w:rsidRPr="001177AF">
        <w:rPr>
          <w:lang w:val="en-GB"/>
        </w:rPr>
        <w:t xml:space="preserve"> such as the recruitment of younger and healthier subjects. This may be </w:t>
      </w:r>
      <w:r w:rsidRPr="001177AF">
        <w:rPr>
          <w:color w:val="000000"/>
          <w:shd w:val="clear" w:color="auto" w:fill="FFFFFF"/>
          <w:lang w:val="en-GB"/>
        </w:rPr>
        <w:t xml:space="preserve">explained by the recruitment restrictions of m-power (owning an iPhone, speaking English, and residing in the United States) </w:t>
      </w:r>
      <w:r w:rsidR="00A7775E" w:rsidRPr="001177AF">
        <w:rPr>
          <w:color w:val="000000"/>
          <w:shd w:val="clear" w:color="auto" w:fill="FFFFFF"/>
          <w:lang w:val="en-GB"/>
        </w:rPr>
        <w:t>targeting</w:t>
      </w:r>
      <w:r w:rsidRPr="001177AF">
        <w:rPr>
          <w:color w:val="000000"/>
          <w:shd w:val="clear" w:color="auto" w:fill="FFFFFF"/>
          <w:lang w:val="en-GB"/>
        </w:rPr>
        <w:t xml:space="preserve"> a young and healthy population </w:t>
      </w:r>
      <w:r w:rsidR="00A7775E" w:rsidRPr="001177AF">
        <w:rPr>
          <w:color w:val="000000"/>
          <w:shd w:val="clear" w:color="auto" w:fill="FFFFFF"/>
          <w:lang w:val="en-GB"/>
        </w:rPr>
        <w:t>with a higher smartphone adaptation rate</w:t>
      </w:r>
      <w:r w:rsidRPr="001177AF">
        <w:rPr>
          <w:color w:val="000000"/>
          <w:shd w:val="clear" w:color="auto" w:fill="FFFFFF"/>
          <w:lang w:val="en-GB"/>
        </w:rPr>
        <w:t xml:space="preserve"> </w:t>
      </w:r>
      <w:r w:rsidRPr="001177AF">
        <w:rPr>
          <w:color w:val="000000"/>
          <w:shd w:val="clear" w:color="auto" w:fill="FFFFFF"/>
          <w:lang w:val="en-GB"/>
        </w:rPr>
        <w:fldChar w:fldCharType="begin"/>
      </w:r>
      <w:r w:rsidR="00726C10" w:rsidRPr="001177AF">
        <w:rPr>
          <w:color w:val="000000"/>
          <w:shd w:val="clear" w:color="auto" w:fill="FFFFFF"/>
          <w:lang w:val="en-GB"/>
        </w:rPr>
        <w:instrText>ADDIN F1000_CSL_CITATION&lt;~#@#~&gt;[{"First":false,"Last":false,"URL":"https://www.pewresearch.org/internet/fact-sheet/mobile/","accessed":{"date-parts":[["2022","12","14"]]},"authorYearDisplayFormat":false,"citation-label":"14080790","id":"14080790","invisible":false,"issued":{"date-parts":[[]]},"suppress-author":false,"title":"Demographics of Mobile Device Ownership and Adoption in the United States | Pew Research Center","type":"webpage"}]</w:instrText>
      </w:r>
      <w:r w:rsidRPr="001177AF">
        <w:rPr>
          <w:color w:val="000000"/>
          <w:shd w:val="clear" w:color="auto" w:fill="FFFFFF"/>
          <w:lang w:val="en-GB"/>
        </w:rPr>
        <w:fldChar w:fldCharType="separate"/>
      </w:r>
      <w:r w:rsidR="00726C10" w:rsidRPr="001177AF">
        <w:rPr>
          <w:noProof/>
          <w:color w:val="000000"/>
          <w:shd w:val="clear" w:color="auto" w:fill="FFFFFF"/>
          <w:lang w:val="en-GB"/>
        </w:rPr>
        <w:t>(73)</w:t>
      </w:r>
      <w:r w:rsidRPr="001177AF">
        <w:rPr>
          <w:color w:val="000000"/>
          <w:shd w:val="clear" w:color="auto" w:fill="FFFFFF"/>
          <w:lang w:val="en-GB"/>
        </w:rPr>
        <w:fldChar w:fldCharType="end"/>
      </w:r>
      <w:r w:rsidRPr="001177AF">
        <w:rPr>
          <w:lang w:val="en-GB"/>
        </w:rPr>
        <w:t xml:space="preserve">. </w:t>
      </w:r>
      <w:r w:rsidR="001B1240" w:rsidRPr="001177AF">
        <w:rPr>
          <w:lang w:val="en-GB"/>
        </w:rPr>
        <w:t>Therefore, demographic factors such as</w:t>
      </w:r>
      <w:r w:rsidRPr="001177AF">
        <w:rPr>
          <w:lang w:val="en-GB"/>
        </w:rPr>
        <w:t xml:space="preserve"> age, technological savvy (primarily among the elderly), and socioeconomic</w:t>
      </w:r>
      <w:r w:rsidR="001B1240" w:rsidRPr="001177AF">
        <w:rPr>
          <w:lang w:val="en-GB"/>
        </w:rPr>
        <w:t xml:space="preserve"> status</w:t>
      </w:r>
      <w:r w:rsidRPr="001177AF">
        <w:rPr>
          <w:lang w:val="en-GB"/>
        </w:rPr>
        <w:t xml:space="preserve"> may influence the profile of participation in smartphone-based remote monitoring programs. </w:t>
      </w:r>
      <w:r w:rsidR="001B1240" w:rsidRPr="001177AF">
        <w:rPr>
          <w:lang w:val="en-GB"/>
        </w:rPr>
        <w:t>Hence</w:t>
      </w:r>
      <w:r w:rsidR="00AC4FA5" w:rsidRPr="001177AF">
        <w:rPr>
          <w:lang w:val="en-GB"/>
        </w:rPr>
        <w:t>,</w:t>
      </w:r>
      <w:r w:rsidRPr="001177AF">
        <w:rPr>
          <w:lang w:val="en-GB"/>
        </w:rPr>
        <w:t xml:space="preserve"> </w:t>
      </w:r>
      <w:r w:rsidR="001B1240" w:rsidRPr="001177AF">
        <w:rPr>
          <w:lang w:val="en-GB"/>
        </w:rPr>
        <w:t xml:space="preserve">it is crucial to consider </w:t>
      </w:r>
      <w:r w:rsidRPr="001177AF">
        <w:rPr>
          <w:lang w:val="en-GB"/>
        </w:rPr>
        <w:t>selection bias in such research.</w:t>
      </w:r>
      <w:r w:rsidRPr="001177AF" w:rsidDel="00F95AA7">
        <w:rPr>
          <w:lang w:val="en-GB"/>
        </w:rPr>
        <w:t xml:space="preserve"> </w:t>
      </w:r>
    </w:p>
    <w:p w14:paraId="744DC00E" w14:textId="18A4291D" w:rsidR="0017523B" w:rsidRPr="001177AF" w:rsidRDefault="009F0C3A" w:rsidP="002920C7">
      <w:pPr>
        <w:spacing w:line="360" w:lineRule="auto"/>
        <w:jc w:val="both"/>
        <w:rPr>
          <w:lang w:val="en-GB"/>
        </w:rPr>
      </w:pPr>
      <w:r w:rsidRPr="001177AF">
        <w:rPr>
          <w:lang w:val="en-GB"/>
        </w:rPr>
        <w:t>A</w:t>
      </w:r>
      <w:r w:rsidR="00B204AB" w:rsidRPr="001177AF">
        <w:rPr>
          <w:lang w:val="en-GB"/>
        </w:rPr>
        <w:t>dditional</w:t>
      </w:r>
      <w:r w:rsidRPr="001177AF">
        <w:rPr>
          <w:lang w:val="en-GB"/>
        </w:rPr>
        <w:t>ly,</w:t>
      </w:r>
      <w:r w:rsidR="00B204AB" w:rsidRPr="001177AF">
        <w:rPr>
          <w:lang w:val="en-GB"/>
        </w:rPr>
        <w:t xml:space="preserve"> </w:t>
      </w:r>
      <w:r w:rsidRPr="001177AF">
        <w:rPr>
          <w:lang w:val="en-GB"/>
        </w:rPr>
        <w:t xml:space="preserve">the data collected from </w:t>
      </w:r>
      <w:r w:rsidR="004E0CB0" w:rsidRPr="001177AF">
        <w:rPr>
          <w:lang w:val="en-GB"/>
        </w:rPr>
        <w:t>participants'</w:t>
      </w:r>
      <w:r w:rsidRPr="001177AF">
        <w:rPr>
          <w:lang w:val="en-GB"/>
        </w:rPr>
        <w:t xml:space="preserve"> self-reports may introduce several biases stemming from incorrect data entry</w:t>
      </w:r>
      <w:r w:rsidR="00B204AB" w:rsidRPr="001177AF">
        <w:rPr>
          <w:lang w:val="en-GB"/>
        </w:rPr>
        <w:t xml:space="preserve">. The ability to follow or understand instructions required for completing tasks is another concept that can be a source of bias.  This is more pronounced for complex tasks such as gait and balance. Task instructions such as </w:t>
      </w:r>
      <w:r w:rsidR="004E0CB0" w:rsidRPr="001177AF">
        <w:rPr>
          <w:lang w:val="en-GB"/>
        </w:rPr>
        <w:t>"</w:t>
      </w:r>
      <w:r w:rsidR="00B204AB" w:rsidRPr="001177AF">
        <w:rPr>
          <w:lang w:val="en-GB"/>
        </w:rPr>
        <w:t>take ten steps and turn around</w:t>
      </w:r>
      <w:r w:rsidR="004E0CB0" w:rsidRPr="001177AF">
        <w:rPr>
          <w:lang w:val="en-GB"/>
        </w:rPr>
        <w:t>"</w:t>
      </w:r>
      <w:r w:rsidR="00B204AB" w:rsidRPr="001177AF">
        <w:rPr>
          <w:lang w:val="en-GB"/>
        </w:rPr>
        <w:t xml:space="preserve"> and </w:t>
      </w:r>
      <w:r w:rsidR="004E0CB0" w:rsidRPr="001177AF">
        <w:rPr>
          <w:lang w:val="en-GB"/>
        </w:rPr>
        <w:t>"</w:t>
      </w:r>
      <w:r w:rsidR="00B204AB" w:rsidRPr="001177AF">
        <w:rPr>
          <w:lang w:val="en-GB"/>
        </w:rPr>
        <w:t>start walking for ten steps after you hear a beep sound</w:t>
      </w:r>
      <w:r w:rsidR="004E0CB0" w:rsidRPr="001177AF">
        <w:rPr>
          <w:lang w:val="en-GB"/>
        </w:rPr>
        <w:t>"</w:t>
      </w:r>
      <w:r w:rsidR="00B204AB" w:rsidRPr="001177AF">
        <w:rPr>
          <w:lang w:val="en-GB"/>
        </w:rPr>
        <w:t xml:space="preserve"> may be misunderstood or entirely ignored by the participants. This effect was observed in the m-Power dataset, where many participants had shorter signal </w:t>
      </w:r>
      <w:r w:rsidR="002328D5" w:rsidRPr="001177AF">
        <w:rPr>
          <w:lang w:val="en-GB"/>
        </w:rPr>
        <w:t>lengths</w:t>
      </w:r>
      <w:r w:rsidR="00B204AB" w:rsidRPr="001177AF">
        <w:rPr>
          <w:lang w:val="en-GB"/>
        </w:rPr>
        <w:t xml:space="preserve"> or </w:t>
      </w:r>
      <w:r w:rsidR="002328D5" w:rsidRPr="001177AF">
        <w:rPr>
          <w:lang w:val="en-GB"/>
        </w:rPr>
        <w:t>held</w:t>
      </w:r>
      <w:r w:rsidR="00B204AB" w:rsidRPr="001177AF">
        <w:rPr>
          <w:lang w:val="en-GB"/>
        </w:rPr>
        <w:t xml:space="preserve"> devices in the wrong positions. In addition, the results of the third manuscript </w:t>
      </w:r>
      <w:r w:rsidR="00B204AB" w:rsidRPr="001177AF">
        <w:rPr>
          <w:lang w:val="en-GB"/>
        </w:rPr>
        <w:lastRenderedPageBreak/>
        <w:t xml:space="preserve">show a smaller effect size and poor reliability for these tasks. </w:t>
      </w:r>
      <w:r w:rsidR="00B204AB" w:rsidRPr="001177AF">
        <w:rPr>
          <w:lang w:val="en-GB"/>
        </w:rPr>
        <w:fldChar w:fldCharType="begin"/>
      </w:r>
      <w:r w:rsidR="00726C10" w:rsidRPr="001177AF">
        <w:rPr>
          <w:lang w:val="en-GB"/>
        </w:rPr>
        <w:instrText>ADDIN F1000_CSL_CITATION&lt;~#@#~&gt;[{"DOI":"10.3390/s18041215","First":false,"Last":false,"PMCID":"PMC5948536","PMID":"29659528","abstract":"The use of wearable sensing technology for objective, non-invasive and remote clinimetric testing of symptoms has considerable potential. However, the accuracy achievable with such technology is highly reliant on separating the useful from irrelevant sensor data. Monitoring patient symptoms using digital sensors outside of controlled, clinical lab settings creates a variety of practical challenges, such as recording unexpected user behaviors. These behaviors often violate the assumptions of clinimetric testing protocols, where these protocols are designed to probe for specific symptoms. Such violations are frequent outside the lab and affect the accuracy of the subsequent data analysis and scientific conclusions. To address these problems, we report on a unified algorithmic framework for automated sensor data quality control, which can identify those parts of the sensor data that are sufficiently reliable for further analysis. Combining both parametric and nonparametric signal processing and machine learning techniques, we demonstrate that across 100 subjects and 300 clinimetric tests from three different types of behavioral clinimetric protocols, the system shows an average segmentation accuracy of around 90%. By extracting reliable sensor data, it is possible to strip the data of confounding factors in the environment that may threaten reproducibility and replicability.","author":[{"family":"Badawy","given":"Reham"},{"family":"Raykov","given":"Yordan P"},{"family":"Evers","given":"Luc J W"},{"family":"Bloem","given":"Bastiaan R"},{"family":"Faber","given":"Marjan J"},{"family":"Zhan","given":"Andong"},{"family":"Claes","given":"Kasper"},{"family":"Little","given":"Max A"}],"authorYearDisplayFormat":false,"citation-label":"13127054","container-title":"Sensors (Basel, Switzerland)","container-title-short":"Sensors","id":"13127054","invisible":false,"issue":"4","issued":{"date-parts":[["2018","4","16"]]},"journalAbbreviation":"Sensors","suppress-author":false,"title":"Automated quality control for sensor based symptom measurement performed outside the lab.","type":"article-journal","volume":"18"},{"DOI":"10.1038/s41587-021-00974-9","First":false,"Last":false,"PMID":"34373643","abstract":"Remote health assessments that gather real-world data (RWD) outside clinic settings require a clear understanding of appropriate methods for data collection, quality assessment, analysis and interpretation. Here we examine the performance and limitations of smartphones in collecting RWD in the remote mPower observational study of Parkinson's disease (PD). Within the first 6 months of study commencement, 960 participants had enrolled and performed at least five self-administered active PD symptom assessments (speeded tapping, gait/balance, phonation or memory). Task performance, especially speeded tapping, was predictive of self-reported PD status (area under the receiver operating characteristic curve (AUC) = 0.8) and correlated with in-clinic evaluation of disease severity (r = 0.71; P &lt;  1.8 × 10-6) when compared with motor Movement Disorder Society-Unified Parkinson's Disease Rating Scale (MDS-UPDRS). Although remote assessment requires careful consideration for accurate interpretation of RWD, our results support the use of smartphones and wearables in objective and personalized disease assessments.&lt;br&gt;&lt;br&gt;© 2021. The Author(s), under exclusive licence to Springer Nature America, Inc.","author":[{"family":"Omberg","given":"Larsson"},{"family":"Chaibub Neto","given":"Elias"},{"family":"Perumal","given":"Thanneer M"},{"family":"Pratap","given":"Abhishek"},{"family":"Tediarjo","given":"Aryton"},{"family":"Adams","given":"Jamie"},{"family":"Bloem","given":"Bastiaan R"},{"family":"Bot","given":"Brian M"},{"family":"Elson","given":"Molly"},{"family":"Goldman","given":"Samuel M"},{"family":"Kellen","given":"Michael R"},{"family":"Kieburtz","given":"Karl"},{"family":"Klein","given":"Arno"},{"family":"Little","given":"Max A"},{"family":"Schneider","given":"Ruth"},{"family":"Suver","given":"Christine"},{"family":"Tarolli","given":"Christopher"},{"family":"Tanner","given":"Caroline M"},{"family":"Trister","given":"Andrew D"},{"family":"Wilbanks","given":"John"},{"family":"Dorsey","given":"E Ray"},{"family":"Mangravite","given":"Lara M"}],"authorYearDisplayFormat":false,"citation-label":"11534455","container-title":"Nature Biotechnology","container-title-short":"Nat. Biotechnol.","id":"11534455","invisible":false,"issue":"4","issued":{"date-parts":[["2022","4"]]},"journalAbbreviation":"Nat. Biotechnol.","page":"480-487","suppress-author":false,"title":"Remote smartphone monitoring of Parkinson's disease and individual response to therapy.","type":"article-journal","volume":"40"}]</w:instrText>
      </w:r>
      <w:r w:rsidR="00B204AB" w:rsidRPr="001177AF">
        <w:rPr>
          <w:lang w:val="en-GB"/>
        </w:rPr>
        <w:fldChar w:fldCharType="separate"/>
      </w:r>
      <w:r w:rsidR="00726C10" w:rsidRPr="001177AF">
        <w:rPr>
          <w:noProof/>
          <w:lang w:val="en-GB"/>
        </w:rPr>
        <w:t>(6,74)</w:t>
      </w:r>
      <w:r w:rsidR="00B204AB" w:rsidRPr="001177AF">
        <w:rPr>
          <w:lang w:val="en-GB"/>
        </w:rPr>
        <w:fldChar w:fldCharType="end"/>
      </w:r>
      <w:r w:rsidR="00B204AB" w:rsidRPr="001177AF">
        <w:rPr>
          <w:lang w:val="en-GB"/>
        </w:rPr>
        <w:t xml:space="preserve">. </w:t>
      </w:r>
      <w:r w:rsidR="0017523B" w:rsidRPr="001177AF">
        <w:rPr>
          <w:lang w:val="en-GB"/>
        </w:rPr>
        <w:t xml:space="preserve">It suggests that additional supplemental materials, such as audio </w:t>
      </w:r>
      <w:r w:rsidR="003F031F" w:rsidRPr="001177AF">
        <w:rPr>
          <w:lang w:val="en-GB"/>
        </w:rPr>
        <w:t>counselling</w:t>
      </w:r>
      <w:r w:rsidR="0017523B" w:rsidRPr="001177AF">
        <w:rPr>
          <w:lang w:val="en-GB"/>
        </w:rPr>
        <w:t xml:space="preserve"> or video tutorials, during or before such tasks could help participants complete them.</w:t>
      </w:r>
    </w:p>
    <w:p w14:paraId="0D24AE65" w14:textId="231BCFAD" w:rsidR="00B204AB" w:rsidRPr="001177AF" w:rsidRDefault="00B204AB" w:rsidP="002920C7">
      <w:pPr>
        <w:spacing w:line="360" w:lineRule="auto"/>
        <w:jc w:val="both"/>
        <w:rPr>
          <w:lang w:val="en-GB"/>
        </w:rPr>
      </w:pPr>
      <w:r w:rsidRPr="001177AF">
        <w:rPr>
          <w:lang w:val="en-GB"/>
        </w:rPr>
        <w:t xml:space="preserve">The real-time and longitudinal nature of remote monitoring approaches makes them an excellent complement to patient recall for the estimation of treatment effect evaluation, with the potential to be </w:t>
      </w:r>
      <w:r w:rsidR="005D54DC" w:rsidRPr="001177AF">
        <w:rPr>
          <w:lang w:val="en-GB"/>
        </w:rPr>
        <w:t>utilised</w:t>
      </w:r>
      <w:r w:rsidRPr="001177AF">
        <w:rPr>
          <w:lang w:val="en-GB"/>
        </w:rPr>
        <w:t xml:space="preserve"> in </w:t>
      </w:r>
      <w:r w:rsidR="005D54DC" w:rsidRPr="001177AF">
        <w:rPr>
          <w:lang w:val="en-GB"/>
        </w:rPr>
        <w:t>personalised</w:t>
      </w:r>
      <w:r w:rsidRPr="001177AF">
        <w:rPr>
          <w:lang w:val="en-GB"/>
        </w:rPr>
        <w:t xml:space="preserve"> and precision medicine. However, our results indicate that </w:t>
      </w:r>
      <w:r w:rsidR="00EA6C01" w:rsidRPr="001177AF">
        <w:rPr>
          <w:lang w:val="en-GB"/>
        </w:rPr>
        <w:t xml:space="preserve">the </w:t>
      </w:r>
      <w:r w:rsidRPr="001177AF">
        <w:rPr>
          <w:lang w:val="en-GB"/>
        </w:rPr>
        <w:t>majority of extracted DBs were not sensitive enough to different treatment conditions. One potential explanation is the presence of confounding factors such as the absence of accurate treatment report</w:t>
      </w:r>
      <w:r w:rsidR="002328D5" w:rsidRPr="001177AF">
        <w:rPr>
          <w:lang w:val="en-GB"/>
        </w:rPr>
        <w:t>ing</w:t>
      </w:r>
      <w:r w:rsidRPr="001177AF">
        <w:rPr>
          <w:lang w:val="en-GB"/>
        </w:rPr>
        <w:t xml:space="preserve"> time, treatment type</w:t>
      </w:r>
      <w:r w:rsidR="002328D5" w:rsidRPr="001177AF">
        <w:rPr>
          <w:lang w:val="en-GB"/>
        </w:rPr>
        <w:t>,</w:t>
      </w:r>
      <w:r w:rsidRPr="001177AF">
        <w:rPr>
          <w:lang w:val="en-GB"/>
        </w:rPr>
        <w:t xml:space="preserve"> </w:t>
      </w:r>
      <w:r w:rsidR="009F0C3A" w:rsidRPr="001177AF">
        <w:rPr>
          <w:lang w:val="en-GB"/>
        </w:rPr>
        <w:t>dosage</w:t>
      </w:r>
      <w:r w:rsidRPr="001177AF">
        <w:rPr>
          <w:lang w:val="en-GB"/>
        </w:rPr>
        <w:t xml:space="preserve">, and disease severity that must all be </w:t>
      </w:r>
      <w:r w:rsidR="00A50E34" w:rsidRPr="001177AF">
        <w:rPr>
          <w:lang w:val="en-GB"/>
        </w:rPr>
        <w:t>considered</w:t>
      </w:r>
      <w:r w:rsidRPr="001177AF">
        <w:rPr>
          <w:lang w:val="en-GB"/>
        </w:rPr>
        <w:t>. Thus, there is a need for more sensitive DBs in a remote and self-administered context as well as carefully constructed settings and evaluation procedures</w:t>
      </w:r>
      <w:r w:rsidR="002328D5" w:rsidRPr="001177AF">
        <w:rPr>
          <w:lang w:val="en-GB"/>
        </w:rPr>
        <w:t xml:space="preserve"> </w:t>
      </w:r>
      <w:r w:rsidRPr="001177AF">
        <w:rPr>
          <w:lang w:val="en-GB"/>
        </w:rPr>
        <w:t>in this response.</w:t>
      </w:r>
    </w:p>
    <w:p w14:paraId="53867DFE" w14:textId="3DE024F2" w:rsidR="00A57E97" w:rsidRPr="001177AF" w:rsidRDefault="002B7001" w:rsidP="00A57E97">
      <w:pPr>
        <w:spacing w:line="360" w:lineRule="auto"/>
        <w:jc w:val="both"/>
        <w:rPr>
          <w:lang w:val="en-GB"/>
        </w:rPr>
      </w:pPr>
      <w:r w:rsidRPr="001177AF">
        <w:rPr>
          <w:color w:val="000000"/>
          <w:shd w:val="clear" w:color="auto" w:fill="FFFFFF"/>
          <w:lang w:val="en-GB"/>
        </w:rPr>
        <w:t>U</w:t>
      </w:r>
      <w:r w:rsidR="007A4F11" w:rsidRPr="001177AF">
        <w:rPr>
          <w:color w:val="000000"/>
          <w:shd w:val="clear" w:color="auto" w:fill="FFFFFF"/>
          <w:lang w:val="en-GB"/>
        </w:rPr>
        <w:t>pon further inspection of manuscripts published using the m-Power data set, it became clear that there was a vast divergence of outcomes from different groups</w:t>
      </w:r>
      <w:r w:rsidR="007A4F11" w:rsidRPr="001177AF">
        <w:rPr>
          <w:lang w:val="en-GB"/>
        </w:rPr>
        <w:t xml:space="preserve">. One of the most potential explanations for this disparity is the lack of a </w:t>
      </w:r>
      <w:r w:rsidR="00E56275" w:rsidRPr="001177AF">
        <w:rPr>
          <w:lang w:val="en-GB"/>
        </w:rPr>
        <w:t xml:space="preserve">standard </w:t>
      </w:r>
      <w:r w:rsidR="007A4F11" w:rsidRPr="001177AF">
        <w:rPr>
          <w:lang w:val="en-GB"/>
        </w:rPr>
        <w:t xml:space="preserve">pipeline for analysis, </w:t>
      </w:r>
      <w:r w:rsidR="005D54DC" w:rsidRPr="001177AF">
        <w:rPr>
          <w:lang w:val="en-GB"/>
        </w:rPr>
        <w:t>standardised</w:t>
      </w:r>
      <w:r w:rsidR="007A4F11" w:rsidRPr="001177AF">
        <w:rPr>
          <w:lang w:val="en-GB"/>
        </w:rPr>
        <w:t xml:space="preserve"> benchmarks, </w:t>
      </w:r>
      <w:r w:rsidR="004E0CB0" w:rsidRPr="001177AF">
        <w:rPr>
          <w:lang w:val="en-GB"/>
        </w:rPr>
        <w:t>performance measures, and</w:t>
      </w:r>
      <w:r w:rsidR="007A4F11" w:rsidRPr="001177AF">
        <w:rPr>
          <w:lang w:val="en-GB"/>
        </w:rPr>
        <w:t xml:space="preserve"> neglect of confounding factors. There</w:t>
      </w:r>
      <w:r w:rsidR="00A57E97" w:rsidRPr="001177AF">
        <w:rPr>
          <w:lang w:val="en-GB"/>
        </w:rPr>
        <w:t>fore</w:t>
      </w:r>
      <w:r w:rsidR="007A4F11" w:rsidRPr="001177AF">
        <w:rPr>
          <w:lang w:val="en-GB"/>
        </w:rPr>
        <w:t xml:space="preserve">, in </w:t>
      </w:r>
      <w:r w:rsidR="00CB2F56" w:rsidRPr="001177AF">
        <w:rPr>
          <w:lang w:val="en-GB"/>
        </w:rPr>
        <w:t xml:space="preserve">the fourth </w:t>
      </w:r>
      <w:r w:rsidR="00726C10" w:rsidRPr="001177AF">
        <w:rPr>
          <w:lang w:val="en-GB"/>
        </w:rPr>
        <w:t xml:space="preserve">manuscript </w:t>
      </w:r>
      <w:r w:rsidR="0026675B" w:rsidRPr="001177AF">
        <w:rPr>
          <w:lang w:val="en-GB"/>
        </w:rPr>
        <w:fldChar w:fldCharType="begin"/>
      </w:r>
      <w:r w:rsidR="00726C10" w:rsidRPr="001177AF">
        <w:rPr>
          <w:lang w:val="en-GB"/>
        </w:rPr>
        <w:instrText>ADDIN F1000_CSL_CITATION&lt;~#@#~&gt;[{"DOI":"10.1101/2021.01.13.21249660","First":false,"Last":false,"abstract":"&lt;strong&gt;BACKGROUND:&lt;/strong&gt;&lt;p&gt;Smartphone-based digital biomarker (DB) assessments provide objective measures of daily-life tasks and thus hold the promise to improve diagnosis and monitoring of Parkinson’s disease (PD). To date, little is known about which tasks perform best for these purposes and how different confounds including comorbidities, age and sex affect their accuracy. Here we systematically assess the ability of common self-administered smartphone-based tasks to differentiate PD patients and healthy controls (HC) with and without accounting for the above confounds.&lt;/p&gt;\n&lt;strong&gt;METHODS:&lt;/strong&gt;&lt;p&gt;Using a large cohort of PD patients and healthy volunteers acquired in the mPower study, we extracted about 700 features commonly reported in previous PD studies for gait, balance, voice and tapping tasks. We perform a series of experiments systematically assessing the effects of age, sex and comorbidities on the accuracy of the above tasks for differentiation of PD patients and HC using several machine learning algorithms.&lt;/p&gt;\n&lt;strong&gt;RESULTS:&lt;/strong&gt;&lt;p&gt;When accounting for age, sex and comorbidities, the highest balanced accuracy on hold-out data (67%) was achieved using relevance vector machine on tapping and when combining all tasks. Only moderate accuracies were achieved for other tasks (60% for balance, 56% for gait and 55% for voice data). Not accounting for the confounders consistently yielded higher accuracies of up to 73% (for tapping) for all tasks.&lt;/p&gt;\n&lt;strong&gt;DISCUSSION:&lt;/strong&gt;&lt;p&gt;Our results demonstrate the importance of controlling DB data for age and comorbidities. They further point to a moderate power of commonly applied DB tasks to differentiate between PD and HC when conducted in poorly controlled self-administered settings.&lt;/p&gt;","author":[{"family":"Goñi","given":"María"},{"family":"Eickhoff","given":"Simon"},{"family":"Far","given":"Mehran Sahandi"},{"family":"Patil","given":"Kaustubh"},{"family":"Dukart","given":"Juergen"}],"authorYearDisplayFormat":false,"citation-label":"11017370","container-title":"medRxiv","id":"11017370","invisible":false,"issued":{"date-parts":[["2021","1","15"]]},"suppress-author":false,"title":"Limited diagnostic accuracy of smartphone-based digital biomarkers for Parkinson’s disease in a remotely-administered setting","type":"article-journal"}]</w:instrText>
      </w:r>
      <w:r w:rsidR="0026675B" w:rsidRPr="001177AF">
        <w:rPr>
          <w:lang w:val="en-GB"/>
        </w:rPr>
        <w:fldChar w:fldCharType="separate"/>
      </w:r>
      <w:r w:rsidR="00726C10" w:rsidRPr="001177AF">
        <w:rPr>
          <w:noProof/>
          <w:lang w:val="en-GB"/>
        </w:rPr>
        <w:t>(75)</w:t>
      </w:r>
      <w:r w:rsidR="0026675B" w:rsidRPr="001177AF">
        <w:rPr>
          <w:lang w:val="en-GB"/>
        </w:rPr>
        <w:fldChar w:fldCharType="end"/>
      </w:r>
      <w:r w:rsidR="00095157" w:rsidRPr="001177AF">
        <w:rPr>
          <w:lang w:val="en-GB"/>
        </w:rPr>
        <w:t xml:space="preserve">, </w:t>
      </w:r>
      <w:r w:rsidR="00A57E97" w:rsidRPr="001177AF">
        <w:rPr>
          <w:lang w:val="en-GB"/>
        </w:rPr>
        <w:t>we investigated these confounding factors and their influence on the performance of machine learning methods.</w:t>
      </w:r>
    </w:p>
    <w:p w14:paraId="0127DEA1" w14:textId="4E19973E" w:rsidR="002B7001" w:rsidRPr="001177AF" w:rsidRDefault="00473610" w:rsidP="002920C7">
      <w:pPr>
        <w:spacing w:line="360" w:lineRule="auto"/>
        <w:jc w:val="both"/>
        <w:rPr>
          <w:lang w:val="en-GB"/>
        </w:rPr>
      </w:pPr>
      <w:r w:rsidRPr="001177AF">
        <w:rPr>
          <w:lang w:val="en-GB"/>
        </w:rPr>
        <w:t xml:space="preserve">Different machine learning algorithms search for </w:t>
      </w:r>
      <w:proofErr w:type="gramStart"/>
      <w:r w:rsidRPr="001177AF">
        <w:rPr>
          <w:lang w:val="en-GB"/>
        </w:rPr>
        <w:t>particular trends</w:t>
      </w:r>
      <w:proofErr w:type="gramEnd"/>
      <w:r w:rsidRPr="001177AF">
        <w:rPr>
          <w:lang w:val="en-GB"/>
        </w:rPr>
        <w:t xml:space="preserve"> and patterns in the data</w:t>
      </w:r>
      <w:r w:rsidR="00E56275" w:rsidRPr="001177AF">
        <w:rPr>
          <w:lang w:val="en-GB"/>
        </w:rPr>
        <w:t>, and it's</w:t>
      </w:r>
      <w:r w:rsidR="0017523B" w:rsidRPr="001177AF">
        <w:rPr>
          <w:lang w:val="en-GB"/>
        </w:rPr>
        <w:t xml:space="preserve"> possible that </w:t>
      </w:r>
      <w:r w:rsidRPr="001177AF">
        <w:rPr>
          <w:lang w:val="en-GB"/>
        </w:rPr>
        <w:t>a single algorithm may not be the optimal solution for all datasets or use cases.</w:t>
      </w:r>
      <w:r w:rsidR="0017523B" w:rsidRPr="001177AF">
        <w:rPr>
          <w:lang w:val="en-GB"/>
        </w:rPr>
        <w:t xml:space="preserve"> Thus,</w:t>
      </w:r>
      <w:r w:rsidRPr="001177AF">
        <w:rPr>
          <w:lang w:val="en-GB"/>
        </w:rPr>
        <w:t xml:space="preserve"> comprehensive experiments </w:t>
      </w:r>
      <w:r w:rsidR="00012E19" w:rsidRPr="001177AF">
        <w:rPr>
          <w:lang w:val="en-GB"/>
        </w:rPr>
        <w:t xml:space="preserve">and </w:t>
      </w:r>
      <w:r w:rsidR="0025640C" w:rsidRPr="001177AF">
        <w:rPr>
          <w:lang w:val="en-GB"/>
        </w:rPr>
        <w:t xml:space="preserve">the </w:t>
      </w:r>
      <w:r w:rsidRPr="001177AF">
        <w:rPr>
          <w:lang w:val="en-GB"/>
        </w:rPr>
        <w:t>assess</w:t>
      </w:r>
      <w:r w:rsidR="0025640C" w:rsidRPr="001177AF">
        <w:rPr>
          <w:lang w:val="en-GB"/>
        </w:rPr>
        <w:t>ment of</w:t>
      </w:r>
      <w:r w:rsidRPr="001177AF">
        <w:rPr>
          <w:lang w:val="en-GB"/>
        </w:rPr>
        <w:t xml:space="preserve"> multiple </w:t>
      </w:r>
      <w:r w:rsidR="0025640C" w:rsidRPr="001177AF">
        <w:rPr>
          <w:lang w:val="en-GB"/>
        </w:rPr>
        <w:t>machine-learning</w:t>
      </w:r>
      <w:r w:rsidRPr="001177AF">
        <w:rPr>
          <w:lang w:val="en-GB"/>
        </w:rPr>
        <w:t xml:space="preserve"> algorithms</w:t>
      </w:r>
      <w:r w:rsidR="00012E19" w:rsidRPr="001177AF">
        <w:rPr>
          <w:lang w:val="en-GB"/>
        </w:rPr>
        <w:t xml:space="preserve"> are required</w:t>
      </w:r>
      <w:r w:rsidRPr="001177AF">
        <w:rPr>
          <w:lang w:val="en-GB"/>
        </w:rPr>
        <w:t>.</w:t>
      </w:r>
      <w:r w:rsidR="00D13D3F" w:rsidRPr="001177AF">
        <w:rPr>
          <w:lang w:val="en-GB"/>
        </w:rPr>
        <w:t xml:space="preserve"> </w:t>
      </w:r>
      <w:r w:rsidR="0017523B" w:rsidRPr="001177AF">
        <w:rPr>
          <w:lang w:val="en-GB"/>
        </w:rPr>
        <w:t>W</w:t>
      </w:r>
      <w:r w:rsidRPr="001177AF">
        <w:rPr>
          <w:lang w:val="en-GB"/>
        </w:rPr>
        <w:t xml:space="preserve">e show this principle </w:t>
      </w:r>
      <w:r w:rsidR="0017523B" w:rsidRPr="001177AF">
        <w:rPr>
          <w:lang w:val="en-GB"/>
        </w:rPr>
        <w:t xml:space="preserve">in the fourth paper </w:t>
      </w:r>
      <w:r w:rsidR="0025640C" w:rsidRPr="001177AF">
        <w:rPr>
          <w:lang w:val="en-GB"/>
        </w:rPr>
        <w:t>by comparing the performances of different machine-learning algorithms</w:t>
      </w:r>
      <w:r w:rsidRPr="001177AF">
        <w:rPr>
          <w:lang w:val="en-GB"/>
        </w:rPr>
        <w:t>.</w:t>
      </w:r>
      <w:r w:rsidR="007F11A8" w:rsidRPr="001177AF">
        <w:rPr>
          <w:lang w:val="en-GB"/>
        </w:rPr>
        <w:t xml:space="preserve"> W</w:t>
      </w:r>
      <w:r w:rsidR="00D13D3F" w:rsidRPr="001177AF">
        <w:rPr>
          <w:lang w:val="en-GB"/>
        </w:rPr>
        <w:t xml:space="preserve">e </w:t>
      </w:r>
      <w:r w:rsidR="00743B38" w:rsidRPr="001177AF">
        <w:rPr>
          <w:lang w:val="en-GB"/>
        </w:rPr>
        <w:t xml:space="preserve">also </w:t>
      </w:r>
      <w:r w:rsidR="00D13D3F" w:rsidRPr="001177AF">
        <w:rPr>
          <w:lang w:val="en-GB"/>
        </w:rPr>
        <w:t>show</w:t>
      </w:r>
      <w:r w:rsidR="00743B38" w:rsidRPr="001177AF">
        <w:rPr>
          <w:lang w:val="en-GB"/>
        </w:rPr>
        <w:t xml:space="preserve"> </w:t>
      </w:r>
      <w:r w:rsidR="00D13D3F" w:rsidRPr="001177AF">
        <w:rPr>
          <w:lang w:val="en-GB"/>
        </w:rPr>
        <w:t>that different sources of confounding factors can lead to over or underfitting results, which i</w:t>
      </w:r>
      <w:r w:rsidR="006E211D" w:rsidRPr="001177AF">
        <w:rPr>
          <w:lang w:val="en-GB"/>
        </w:rPr>
        <w:t>s</w:t>
      </w:r>
      <w:r w:rsidR="00D13D3F" w:rsidRPr="001177AF">
        <w:rPr>
          <w:lang w:val="en-GB"/>
        </w:rPr>
        <w:t xml:space="preserve"> consistent with previous research </w:t>
      </w:r>
      <w:r w:rsidR="006E211D" w:rsidRPr="001177AF">
        <w:rPr>
          <w:lang w:val="en-GB"/>
        </w:rPr>
        <w:fldChar w:fldCharType="begin"/>
      </w:r>
      <w:r w:rsidR="00726C10" w:rsidRPr="001177AF">
        <w:rPr>
          <w:lang w:val="en-GB"/>
        </w:rPr>
        <w:instrText>ADDIN F1000_CSL_CITATION&lt;~#@#~&gt;[{"DOI":"10.1609/aaai.v33i01.33011118","First":false,"Last":false,"abstract":"&lt;p&gt;Parkinson’s disease is a neurodegenerative disease that can affect a person’s movement, speech, dexterity, and cognition. Clinicians primarily diagnose Parkinson’s disease by performing a clinical assessment of symptoms. However, misdiagnoses are common. One factor that contributes to misdiagnoses is that the symptoms of Parkinson’s disease may not be prominent at the time the clinical assessment is performed. Here, we present a machine-learning approach towards distinguishing between people with and without Parkinson’s disease using long-term data from smartphone-based walking, voice, tapping and memory tests. We demonstrate that our attentive deep-learning models achieve significant improvements in predictive performance over strong baselines (area under the receiver operating characteristic curve = 0.85) in data from a cohort of 1853 participants. We also show that our models identify meaningful features in the input data. Our results confirm that smartphone data collected over extended periods of time could in the future potentially be used as a digital biomarker for the diagnosis of Parkinson’s disease.&lt;/p&gt;","author":[{"family":"Schwab","given":"Patrick"},{"family":"Karlen","given":"Walter"}],"authorYearDisplayFormat":false,"citation-label":"9268711","container-title":"Proceedings of the AAAI Conference on Artificial Intelligence","container-title-short":"AAAI","id":"9268711","invisible":false,"issued":{"date-parts":[["2019","7","17"]]},"journalAbbreviation":"AAAI","page":"1118-1125","suppress-author":false,"title":"PhoneMD: Learning to Diagnose Parkinson’s Disease from Smartphone Data","type":"article-journal","volume":"33"},{"DOI":"10.48550/arxiv.1811.11920","First":false,"Last":false,"abstract":"Clinical machine learning applications are often plagued with confounders that can impact the generalizability and predictive performance of the learners. Confounding is especially problematic in remote digital health studies where the participants self-select to enter the study, thereby making it challenging to balance the demographic characteristics of participants. One effective approach to combat confounding is to match samples with respect to the confounding variables in order to balance the data. This procedure, however, leads to smaller datasets and hence impact the inferences drawn from the learners. Alternatively, confounding adjustment methods that make more efficient use of the data (e.g., inverse probability weighting) usually rely on modeling assumptions, and it is unclear how robust these methods are to violations of these assumptions. Here, rather than proposing a new approach to control for confounding, we develop novel permutation based statistical methods to detect and quantify the influence of observed confounders, and estimate the unconfounded performance of the learner. Our tools can be used to evaluate the effectiveness of existing confounding adjustment methods. We illustrate their application using real-life data from a Parkinson's disease mobile health study collected in an uncontrolled environment.","author":[{"family":"Neto","given":"Elias Chaibub"},{"family":"Pratap","given":"Abhishek"},{"family":"Perumal","given":"Thanneer M"},{"family":"Tummalacherla","given":"Meghasyam"},{"family":"Bot","given":"Brian M"},{"family":"Mangravite","given":"Lara"},{"family":"Omberg","given":"Larsson"}],"authorYearDisplayFormat":false,"citation-label":"12615635","container-title":"arXiv","container-title-short":"arXiv","id":"12615635","invisible":false,"issued":{"date-parts":[["2018"]]},"journalAbbreviation":"arXiv","suppress-author":false,"title":"Using permutations to assess confounding in machine learning applications for digital health","type":"article-journal"}]</w:instrText>
      </w:r>
      <w:r w:rsidR="006E211D" w:rsidRPr="001177AF">
        <w:rPr>
          <w:lang w:val="en-GB"/>
        </w:rPr>
        <w:fldChar w:fldCharType="separate"/>
      </w:r>
      <w:r w:rsidR="00726C10" w:rsidRPr="001177AF">
        <w:rPr>
          <w:noProof/>
          <w:lang w:val="en-GB"/>
        </w:rPr>
        <w:t>(58,76)</w:t>
      </w:r>
      <w:r w:rsidR="006E211D" w:rsidRPr="001177AF">
        <w:rPr>
          <w:lang w:val="en-GB"/>
        </w:rPr>
        <w:fldChar w:fldCharType="end"/>
      </w:r>
      <w:r w:rsidR="00D13D3F" w:rsidRPr="001177AF">
        <w:rPr>
          <w:lang w:val="en-GB"/>
        </w:rPr>
        <w:t xml:space="preserve">. </w:t>
      </w:r>
    </w:p>
    <w:p w14:paraId="0ACDBD79" w14:textId="30869A4E" w:rsidR="00B204AB" w:rsidRPr="001177AF" w:rsidRDefault="00D13D3F" w:rsidP="002920C7">
      <w:pPr>
        <w:spacing w:line="360" w:lineRule="auto"/>
        <w:jc w:val="both"/>
        <w:rPr>
          <w:lang w:val="en-GB"/>
        </w:rPr>
      </w:pPr>
      <w:r w:rsidRPr="001177AF">
        <w:rPr>
          <w:lang w:val="en-GB"/>
        </w:rPr>
        <w:t xml:space="preserve">Considering that PD is a complex disease </w:t>
      </w:r>
      <w:r w:rsidR="00187EC2" w:rsidRPr="001177AF">
        <w:rPr>
          <w:lang w:val="en-GB"/>
        </w:rPr>
        <w:t>affecting many health domains, using</w:t>
      </w:r>
      <w:r w:rsidRPr="001177AF">
        <w:rPr>
          <w:lang w:val="en-GB"/>
        </w:rPr>
        <w:t xml:space="preserve"> a single task or a limited number of features could be another reason for the discrepancy in previous studies. Therefore, considering multiple aspects such as sleep </w:t>
      </w:r>
      <w:r w:rsidR="005D54DC" w:rsidRPr="001177AF">
        <w:rPr>
          <w:lang w:val="en-GB"/>
        </w:rPr>
        <w:t>behaviour</w:t>
      </w:r>
      <w:r w:rsidRPr="001177AF">
        <w:rPr>
          <w:lang w:val="en-GB"/>
        </w:rPr>
        <w:t xml:space="preserve">, genotyping, and mood tracking to extract more reliable DBs may increase the performance of machine learning methods in differentiating PD from non-PD groups </w:t>
      </w:r>
      <w:r w:rsidRPr="001177AF">
        <w:rPr>
          <w:lang w:val="en-GB"/>
        </w:rPr>
        <w:fldChar w:fldCharType="begin"/>
      </w:r>
      <w:r w:rsidR="00726C10" w:rsidRPr="001177AF">
        <w:rPr>
          <w:lang w:val="en-GB"/>
        </w:rPr>
        <w:instrText>ADDIN F1000_CSL_CITATION&lt;~#@#~&gt;[{"DOI":"10.1038/s42003-022-03002-x","First":false,"Last":false,"PMCID":"PMC8763910","PMID":"35039601","abstract":"Parkinson's disease (PD) is one of the first diseases where digital biomarkers demonstrated excellent performance in differentiating disease from healthy individuals. However, no study has systematically compared and leveraged multiple types of digital biomarkers to predict PD. Particularly, machine learning works on the fine-motor skills of PD are limited. Here, we developed deep learning methods that achieved an AUC (Area Under the receiver operator characteristic Curve) of 0.933 in identifying PD patients on 6418 individuals using 75048 tapping accelerometer and position records. Performance of tapping is superior to gait/rest and voice-based models obtained from the same benchmark population. Assembling the three models achieved a higher AUC of 0.944. Notably, the models not only correlated strongly to, but also performed better than patient self-reported symptom scores in diagnosing PD. This study demonstrates the complementary predictive power of tapping, gait/rest and voice data and establishes integrative deep learning-based models for identifying PD.&lt;br&gt;&lt;br&gt;© 2022. The Author(s).","author":[{"family":"Deng","given":"Kaiwen"},{"family":"Li","given":"Yueming"},{"family":"Zhang","given":"Hanrui"},{"family":"Wang","given":"Jian"},{"family":"Albin","given":"Roger L"},{"family":"Guan","given":"Yuanfang"}],"authorYearDisplayFormat":false,"citation-label":"13092323","container-title":"Communications Biology","container-title-short":"Commun. Biol.","id":"13092323","invisible":false,"issue":"1","issued":{"date-parts":[["2022","1","17"]]},"journalAbbreviation":"Commun. Biol.","page":"58","suppress-author":false,"title":"Heterogeneous digital biomarker integration out-performs patient self-reports in predicting Parkinson's disease.","type":"article-journal","volume":"5"}]</w:instrText>
      </w:r>
      <w:r w:rsidRPr="001177AF">
        <w:rPr>
          <w:lang w:val="en-GB"/>
        </w:rPr>
        <w:fldChar w:fldCharType="separate"/>
      </w:r>
      <w:r w:rsidR="00726C10" w:rsidRPr="001177AF">
        <w:rPr>
          <w:noProof/>
          <w:lang w:val="en-GB"/>
        </w:rPr>
        <w:t>(15)</w:t>
      </w:r>
      <w:r w:rsidRPr="001177AF">
        <w:rPr>
          <w:lang w:val="en-GB"/>
        </w:rPr>
        <w:fldChar w:fldCharType="end"/>
      </w:r>
      <w:r w:rsidRPr="001177AF">
        <w:rPr>
          <w:lang w:val="en-GB"/>
        </w:rPr>
        <w:t>.</w:t>
      </w:r>
    </w:p>
    <w:p w14:paraId="7259A522" w14:textId="23321E79" w:rsidR="002B7001" w:rsidRPr="001177AF" w:rsidRDefault="00A512FD" w:rsidP="002920C7">
      <w:pPr>
        <w:spacing w:line="360" w:lineRule="auto"/>
        <w:jc w:val="both"/>
        <w:rPr>
          <w:lang w:val="en-GB"/>
        </w:rPr>
      </w:pPr>
      <w:r w:rsidRPr="001177AF">
        <w:rPr>
          <w:lang w:val="en-GB"/>
        </w:rPr>
        <w:t xml:space="preserve">The large volume of data collected from smartphones typically consists of repeated measurements from a participant. The assignment of repeated </w:t>
      </w:r>
      <w:r w:rsidR="00E56275" w:rsidRPr="001177AF">
        <w:rPr>
          <w:lang w:val="en-GB"/>
        </w:rPr>
        <w:t>measures</w:t>
      </w:r>
      <w:r w:rsidRPr="001177AF">
        <w:rPr>
          <w:lang w:val="en-GB"/>
        </w:rPr>
        <w:t xml:space="preserve"> from the same individual (record-wise) to training and test sets is a common practice in machine learning </w:t>
      </w:r>
      <w:r w:rsidRPr="001177AF">
        <w:rPr>
          <w:lang w:val="en-GB"/>
        </w:rPr>
        <w:lastRenderedPageBreak/>
        <w:t xml:space="preserve">methods. However, this potentially </w:t>
      </w:r>
      <w:r w:rsidR="00D80E8D" w:rsidRPr="001177AF">
        <w:rPr>
          <w:lang w:val="en-GB"/>
        </w:rPr>
        <w:t>misleads</w:t>
      </w:r>
      <w:r w:rsidRPr="001177AF">
        <w:rPr>
          <w:lang w:val="en-GB"/>
        </w:rPr>
        <w:t xml:space="preserve"> the algorithm into learning the unique feature associated with a subject </w:t>
      </w:r>
      <w:r w:rsidR="0025640C" w:rsidRPr="001177AF">
        <w:rPr>
          <w:lang w:val="en-GB"/>
        </w:rPr>
        <w:t>result</w:t>
      </w:r>
      <w:r w:rsidR="00FC72A4" w:rsidRPr="001177AF">
        <w:rPr>
          <w:lang w:val="en-GB"/>
        </w:rPr>
        <w:t>ing</w:t>
      </w:r>
      <w:r w:rsidR="0025640C" w:rsidRPr="001177AF">
        <w:rPr>
          <w:lang w:val="en-GB"/>
        </w:rPr>
        <w:t xml:space="preserve"> </w:t>
      </w:r>
      <w:r w:rsidRPr="001177AF">
        <w:rPr>
          <w:lang w:val="en-GB"/>
        </w:rPr>
        <w:t xml:space="preserve">in </w:t>
      </w:r>
      <w:r w:rsidR="00FC72A4" w:rsidRPr="001177AF">
        <w:rPr>
          <w:lang w:val="en-GB"/>
        </w:rPr>
        <w:t xml:space="preserve">a </w:t>
      </w:r>
      <w:r w:rsidRPr="001177AF">
        <w:rPr>
          <w:lang w:val="en-GB"/>
        </w:rPr>
        <w:t>very optimistic</w:t>
      </w:r>
      <w:r w:rsidR="00FC72A4" w:rsidRPr="001177AF">
        <w:rPr>
          <w:lang w:val="en-GB"/>
        </w:rPr>
        <w:t xml:space="preserve"> performance. Thus to</w:t>
      </w:r>
      <w:r w:rsidR="003C73A3" w:rsidRPr="001177AF">
        <w:rPr>
          <w:lang w:val="en-GB"/>
        </w:rPr>
        <w:t xml:space="preserve"> avoid</w:t>
      </w:r>
      <w:r w:rsidR="00FC72A4" w:rsidRPr="001177AF">
        <w:rPr>
          <w:lang w:val="en-GB"/>
        </w:rPr>
        <w:t xml:space="preserve"> this</w:t>
      </w:r>
      <w:r w:rsidRPr="001177AF">
        <w:rPr>
          <w:lang w:val="en-GB"/>
        </w:rPr>
        <w:t xml:space="preserve">, it is recommended to use subject-wise data separation rather than record-wise. </w:t>
      </w:r>
      <w:r w:rsidR="00D7248E" w:rsidRPr="001177AF">
        <w:rPr>
          <w:lang w:val="en-GB"/>
        </w:rPr>
        <w:fldChar w:fldCharType="begin"/>
      </w:r>
      <w:r w:rsidR="00726C10" w:rsidRPr="001177AF">
        <w:rPr>
          <w:lang w:val="en-GB"/>
        </w:rPr>
        <w:instrText>ADDIN F1000_CSL_CITATION&lt;~#@#~&gt;[{"DOI":"10.1038/s41746-019-0178-x","First":false,"Last":false,"PMCID":"PMC6789029","PMID":"31633058","abstract":"Collection of high-dimensional, longitudinal digital health data has the potential to support a wide-variety of research and clinical applications including diagnostics and longitudinal health tracking. Algorithms that process these data and inform digital diagnostics are typically developed using training and test sets generated from multiple repeated measures collected across a set of individuals. However, the inclusion of repeated measurements is not always appropriately taken into account in the analytical evaluations of predictive performance. The assignment of repeated measurements from each individual to both the training and the test sets (\"record-wise\" data split) is a common practice and can lead to massive underestimation of the prediction error due to the presence of \"identity confounding.\" In essence, these models learn to identify subjects, in addition to diagnostic signal. Here, we present a method that can be used to effectively calculate the amount of identity confounding learned by classifiers developed using a record-wise data split. By applying this method to several real datasets, we demonstrate that identity confounding is a serious issue in digital health studies and that record-wise data splits for machine learning- based applications need to be avoided.&lt;br&gt;&lt;br&gt;© The Author(s) 2019.","author":[{"family":"Chaibub Neto","given":"Elias"},{"family":"Pratap","given":"Abhishek"},{"family":"Perumal","given":"Thanneer M"},{"family":"Tummalacherla","given":"Meghasyam"},{"family":"Snyder","given":"Phil"},{"family":"Bot","given":"Brian M"},{"family":"Trister","given":"Andrew D"},{"family":"Friend","given":"Stephen H"},{"family":"Mangravite","given":"Lara"},{"family":"Omberg","given":"Larsson"}],"authorYearDisplayFormat":false,"citation-label":"8908978","container-title":"npj Digital Medicine","container-title-short":"npj Digital Med.","id":"8908978","invisible":false,"issued":{"date-parts":[["2019","10","11"]]},"journalAbbreviation":"npj Digital Med.","page":"99","suppress-author":false,"title":"Detecting the impact of subject characteristics on machine learning-based diagnostic applications.","type":"article-journal","volume":"2"},{"DOI":"10.1093/gigascience/gix019","First":false,"Last":false,"PMCID":"PMC5441397","PMID":"28327985","abstract":"The availability of smartphone and wearable sensor technology is leading to a rapid accumulation of human subject data, and machine learning is emerging as a technique to map those data into clinical predictions. As machine learning algorithms are increasingly used to support clinical decision making, it is vital to reliably quantify their prediction accuracy. Cross-validation (CV) is the standard approach where the accuracy of such algorithms is evaluated on part of the data the algorithm has not seen during training. However, for this procedure to be meaningful, the relationship between the training and the validation set should mimic the relationship between the training set and the dataset expected for the clinical use. Here we compared two popular CV methods: record-wise and subject-wise. While the subject-wise method mirrors the clinically relevant use-case scenario of diagnosis in newly recruited subjects, the record-wise strategy has no such interpretation. Using both a publicly available dataset and a simulation, we found that record-wise CV often massively overestimates the prediction accuracy of the algorithms. We also conducted a systematic review of the relevant literature, and found that this overly optimistic method was used by almost half of the retrieved studies that used accelerometers, wearable sensors, or smartphones to predict clinical outcomes. As we move towards an era of machine learning-based diagnosis and treatment, using proper methods to evaluate their accuracy is crucial, as inaccurate results can mislead both clinicians and data scientists.&lt;br&gt;&lt;br&gt;© The Author 2017. Published by Oxford University Press.","author":[{"family":"Saeb","given":"Sohrab"},{"family":"Lonini","given":"Luca"},{"family":"Jayaraman","given":"Arun"},{"family":"Mohr","given":"David C"},{"family":"Kording","given":"Konrad P"}],"authorYearDisplayFormat":false,"citation-label":"4648396","container-title":"GigaScience","container-title-short":"Gigascience","id":"4648396","invisible":false,"issue":"5","issued":{"date-parts":[["2017","5","1"]]},"journalAbbreviation":"Gigascience","page":"1-9","suppress-author":false,"title":"The need to approximate the use-case in clinical machine learning.","type":"article-journal","volume":"6"}]</w:instrText>
      </w:r>
      <w:r w:rsidR="00D7248E" w:rsidRPr="001177AF">
        <w:rPr>
          <w:lang w:val="en-GB"/>
        </w:rPr>
        <w:fldChar w:fldCharType="separate"/>
      </w:r>
      <w:r w:rsidR="00726C10" w:rsidRPr="001177AF">
        <w:rPr>
          <w:noProof/>
          <w:lang w:val="en-GB"/>
        </w:rPr>
        <w:t>(65,77)</w:t>
      </w:r>
      <w:r w:rsidR="00D7248E" w:rsidRPr="001177AF">
        <w:rPr>
          <w:lang w:val="en-GB"/>
        </w:rPr>
        <w:fldChar w:fldCharType="end"/>
      </w:r>
      <w:r w:rsidR="0013245A" w:rsidRPr="001177AF">
        <w:rPr>
          <w:lang w:val="en-GB"/>
        </w:rPr>
        <w:t>.</w:t>
      </w:r>
      <w:r w:rsidR="002B7001" w:rsidRPr="001177AF">
        <w:rPr>
          <w:lang w:val="en-GB"/>
        </w:rPr>
        <w:t xml:space="preserve"> </w:t>
      </w:r>
      <w:r w:rsidR="00043DDE" w:rsidRPr="001177AF">
        <w:rPr>
          <w:lang w:val="en-GB"/>
        </w:rPr>
        <w:t xml:space="preserve"> </w:t>
      </w:r>
      <w:r w:rsidR="002B7001" w:rsidRPr="001177AF">
        <w:rPr>
          <w:lang w:val="en-GB"/>
        </w:rPr>
        <w:t xml:space="preserve">Finally, </w:t>
      </w:r>
      <w:r w:rsidR="00043DDE" w:rsidRPr="001177AF">
        <w:rPr>
          <w:lang w:val="en-GB"/>
        </w:rPr>
        <w:t>the outcome of the fourth manuscript suggests that the lack of</w:t>
      </w:r>
      <w:r w:rsidR="002B7001" w:rsidRPr="001177AF">
        <w:rPr>
          <w:lang w:val="en-GB"/>
        </w:rPr>
        <w:t xml:space="preserve"> considering</w:t>
      </w:r>
      <w:r w:rsidR="00043DDE" w:rsidRPr="001177AF">
        <w:rPr>
          <w:lang w:val="en-GB"/>
        </w:rPr>
        <w:t xml:space="preserve"> the above-mentioned</w:t>
      </w:r>
      <w:r w:rsidR="002B7001" w:rsidRPr="001177AF">
        <w:rPr>
          <w:lang w:val="en-GB"/>
        </w:rPr>
        <w:t xml:space="preserve"> factors</w:t>
      </w:r>
      <w:r w:rsidR="00043DDE" w:rsidRPr="001177AF">
        <w:rPr>
          <w:lang w:val="en-GB"/>
        </w:rPr>
        <w:t xml:space="preserve"> </w:t>
      </w:r>
      <w:r w:rsidR="00C71444" w:rsidRPr="001177AF">
        <w:rPr>
          <w:lang w:val="en-GB"/>
        </w:rPr>
        <w:t>could lead to a lack of reproducibility</w:t>
      </w:r>
      <w:r w:rsidR="002B7001" w:rsidRPr="001177AF">
        <w:rPr>
          <w:lang w:val="en-GB"/>
        </w:rPr>
        <w:t xml:space="preserve"> and </w:t>
      </w:r>
      <w:r w:rsidR="00C71444" w:rsidRPr="001177AF">
        <w:rPr>
          <w:lang w:val="en-GB"/>
        </w:rPr>
        <w:t>generalizability in the results.</w:t>
      </w:r>
    </w:p>
    <w:p w14:paraId="3D1A7348" w14:textId="474CBA88" w:rsidR="009247E2" w:rsidRPr="001177AF" w:rsidRDefault="009247E2" w:rsidP="002920C7">
      <w:pPr>
        <w:pStyle w:val="Heading2"/>
        <w:jc w:val="both"/>
        <w:rPr>
          <w:lang w:val="en-GB"/>
        </w:rPr>
      </w:pPr>
      <w:bookmarkStart w:id="37" w:name="_Toc132365737"/>
      <w:r w:rsidRPr="001177AF">
        <w:rPr>
          <w:lang w:val="en-GB"/>
        </w:rPr>
        <w:t>Conclusion</w:t>
      </w:r>
      <w:r w:rsidR="00C46CF2" w:rsidRPr="001177AF">
        <w:rPr>
          <w:lang w:val="en-GB"/>
        </w:rPr>
        <w:t xml:space="preserve"> </w:t>
      </w:r>
      <w:r w:rsidR="00DE2236" w:rsidRPr="001177AF">
        <w:rPr>
          <w:lang w:val="en-GB"/>
        </w:rPr>
        <w:t>and future direction</w:t>
      </w:r>
      <w:bookmarkEnd w:id="37"/>
    </w:p>
    <w:p w14:paraId="78D3B69A" w14:textId="42E7A1CF" w:rsidR="0083653A" w:rsidRPr="001177AF" w:rsidRDefault="0083653A" w:rsidP="00A5605D">
      <w:pPr>
        <w:spacing w:line="360" w:lineRule="auto"/>
        <w:jc w:val="both"/>
        <w:rPr>
          <w:lang w:val="en-GB"/>
        </w:rPr>
      </w:pPr>
      <w:r w:rsidRPr="001177AF">
        <w:rPr>
          <w:lang w:val="en-GB"/>
        </w:rPr>
        <w:t xml:space="preserve">In conclusion, in this thesis, I have highlighted the potential of using DBs in clinical studies, enabling a diverse range of research and clinical applications such as disease monitoring and diagnosis. I also pointed out that </w:t>
      </w:r>
      <w:r w:rsidR="00E56275" w:rsidRPr="001177AF">
        <w:rPr>
          <w:lang w:val="en-GB"/>
        </w:rPr>
        <w:t>developing</w:t>
      </w:r>
      <w:r w:rsidRPr="001177AF">
        <w:rPr>
          <w:lang w:val="en-GB"/>
        </w:rPr>
        <w:t xml:space="preserve"> successful assessment tools </w:t>
      </w:r>
      <w:r w:rsidR="00E56275" w:rsidRPr="001177AF">
        <w:rPr>
          <w:lang w:val="en-GB"/>
        </w:rPr>
        <w:t>require</w:t>
      </w:r>
      <w:r w:rsidRPr="001177AF">
        <w:rPr>
          <w:lang w:val="en-GB"/>
        </w:rPr>
        <w:t xml:space="preserve"> close collaboration between medical professionals, analytical experts, computer engineers, and legal experts, which cannot be achieved without a broad management operation. Therefore, the availability of an open-source and modular platform enables clinicians and researchers </w:t>
      </w:r>
      <w:r w:rsidR="00920EA3" w:rsidRPr="001177AF">
        <w:rPr>
          <w:lang w:val="en-GB"/>
        </w:rPr>
        <w:t>to incorporate such a tool into their studies quickly</w:t>
      </w:r>
      <w:r w:rsidRPr="001177AF">
        <w:rPr>
          <w:lang w:val="en-GB"/>
        </w:rPr>
        <w:t>. In addition, concerns such as privacy, performance, security, and data ownership are among the fundamental factors that have the potential to influence this partnership</w:t>
      </w:r>
      <w:r w:rsidR="00920EA3" w:rsidRPr="001177AF">
        <w:rPr>
          <w:lang w:val="en-GB"/>
        </w:rPr>
        <w:t xml:space="preserve">. Therefore, </w:t>
      </w:r>
      <w:r w:rsidRPr="001177AF">
        <w:rPr>
          <w:lang w:val="en-GB"/>
        </w:rPr>
        <w:t>tools should be most sensitive to these issues. </w:t>
      </w:r>
    </w:p>
    <w:p w14:paraId="462E1F74" w14:textId="632CFC9E" w:rsidR="0083653A" w:rsidRPr="001177AF" w:rsidRDefault="0083653A" w:rsidP="00A5605D">
      <w:pPr>
        <w:spacing w:line="360" w:lineRule="auto"/>
        <w:jc w:val="both"/>
        <w:rPr>
          <w:lang w:val="en-GB"/>
        </w:rPr>
      </w:pPr>
      <w:r w:rsidRPr="001177AF">
        <w:rPr>
          <w:lang w:val="en-GB"/>
        </w:rPr>
        <w:t xml:space="preserve">I also showed that </w:t>
      </w:r>
      <w:r w:rsidR="0006362E" w:rsidRPr="001177AF">
        <w:rPr>
          <w:lang w:val="en-GB"/>
        </w:rPr>
        <w:t xml:space="preserve">the </w:t>
      </w:r>
      <w:r w:rsidRPr="001177AF">
        <w:rPr>
          <w:lang w:val="en-GB"/>
        </w:rPr>
        <w:t xml:space="preserve">reliability (test-retest) and longitudinal stability of </w:t>
      </w:r>
      <w:r w:rsidR="001A367B" w:rsidRPr="001177AF">
        <w:rPr>
          <w:lang w:val="en-GB"/>
        </w:rPr>
        <w:t>DBs</w:t>
      </w:r>
      <w:r w:rsidRPr="001177AF">
        <w:rPr>
          <w:lang w:val="en-GB"/>
        </w:rPr>
        <w:t xml:space="preserve"> </w:t>
      </w:r>
      <w:r w:rsidR="001A367B" w:rsidRPr="001177AF">
        <w:rPr>
          <w:lang w:val="en-GB"/>
        </w:rPr>
        <w:t>extracted</w:t>
      </w:r>
      <w:r w:rsidRPr="001177AF">
        <w:rPr>
          <w:lang w:val="en-GB"/>
        </w:rPr>
        <w:t xml:space="preserve"> in an unsupervised manner is a major challenge regarding </w:t>
      </w:r>
      <w:r w:rsidR="001A367B" w:rsidRPr="001177AF">
        <w:rPr>
          <w:lang w:val="en-GB"/>
        </w:rPr>
        <w:t>their</w:t>
      </w:r>
      <w:r w:rsidRPr="001177AF">
        <w:rPr>
          <w:lang w:val="en-GB"/>
        </w:rPr>
        <w:t xml:space="preserve"> clinical use. The complexity of self-administered and </w:t>
      </w:r>
      <w:r w:rsidR="001A367B" w:rsidRPr="001177AF">
        <w:rPr>
          <w:lang w:val="en-GB"/>
        </w:rPr>
        <w:t>at-home</w:t>
      </w:r>
      <w:r w:rsidRPr="001177AF">
        <w:rPr>
          <w:lang w:val="en-GB"/>
        </w:rPr>
        <w:t xml:space="preserve"> protocols, along with factors such as environmental changes, loss of motivation, age and gender differences, and the influence of comorbidities, are factors that can cause DBs to become unstable over time, which have not been well addressed in previous studies. Therefore, more comprehensive mechanisms for the development and analysis of DBs collected under these conditions, as well as the development of more reliable DBs, need to be addressed in future studies. Also, study participation and adherence </w:t>
      </w:r>
      <w:r w:rsidR="001A367B" w:rsidRPr="001177AF">
        <w:rPr>
          <w:lang w:val="en-GB"/>
        </w:rPr>
        <w:t>are</w:t>
      </w:r>
      <w:r w:rsidRPr="001177AF">
        <w:rPr>
          <w:lang w:val="en-GB"/>
        </w:rPr>
        <w:t xml:space="preserve"> </w:t>
      </w:r>
      <w:r w:rsidR="00254387" w:rsidRPr="001177AF">
        <w:rPr>
          <w:lang w:val="en-GB"/>
        </w:rPr>
        <w:t>other</w:t>
      </w:r>
      <w:r w:rsidRPr="001177AF">
        <w:rPr>
          <w:lang w:val="en-GB"/>
        </w:rPr>
        <w:t xml:space="preserve"> </w:t>
      </w:r>
      <w:r w:rsidR="00E56275" w:rsidRPr="001177AF">
        <w:rPr>
          <w:lang w:val="en-GB"/>
        </w:rPr>
        <w:t>critical</w:t>
      </w:r>
      <w:r w:rsidRPr="001177AF">
        <w:rPr>
          <w:lang w:val="en-GB"/>
        </w:rPr>
        <w:t xml:space="preserve"> </w:t>
      </w:r>
      <w:r w:rsidR="001A367B" w:rsidRPr="001177AF">
        <w:rPr>
          <w:lang w:val="en-GB"/>
        </w:rPr>
        <w:t>challenges</w:t>
      </w:r>
      <w:r w:rsidRPr="001177AF">
        <w:rPr>
          <w:lang w:val="en-GB"/>
        </w:rPr>
        <w:t xml:space="preserve"> associated with uncontrolled protocols, improved study protocols</w:t>
      </w:r>
      <w:r w:rsidR="00E56275" w:rsidRPr="001177AF">
        <w:rPr>
          <w:lang w:val="en-GB"/>
        </w:rPr>
        <w:t xml:space="preserve"> and</w:t>
      </w:r>
      <w:r w:rsidRPr="001177AF">
        <w:rPr>
          <w:lang w:val="en-GB"/>
        </w:rPr>
        <w:t xml:space="preserve"> using intelligent notification combined with passive monitoring methods may improve this issue.</w:t>
      </w:r>
    </w:p>
    <w:p w14:paraId="05F9650E" w14:textId="3C536647" w:rsidR="00851606" w:rsidRPr="001177AF" w:rsidRDefault="0083653A" w:rsidP="006E211D">
      <w:pPr>
        <w:spacing w:line="360" w:lineRule="auto"/>
        <w:jc w:val="both"/>
        <w:rPr>
          <w:lang w:val="en-GB"/>
        </w:rPr>
      </w:pPr>
      <w:r w:rsidRPr="001177AF">
        <w:rPr>
          <w:lang w:val="en-GB"/>
        </w:rPr>
        <w:t xml:space="preserve">Finally, before the widespread deployment of DBs technologies in clinical practice, remote assessment platforms need to be upgraded </w:t>
      </w:r>
      <w:r w:rsidR="004E0CB0" w:rsidRPr="001177AF">
        <w:rPr>
          <w:lang w:val="en-GB"/>
        </w:rPr>
        <w:t>to be compatible with various</w:t>
      </w:r>
      <w:r w:rsidRPr="001177AF">
        <w:rPr>
          <w:lang w:val="en-GB"/>
        </w:rPr>
        <w:t xml:space="preserve"> operating systems and devices. </w:t>
      </w:r>
      <w:r w:rsidR="00095157" w:rsidRPr="001177AF">
        <w:rPr>
          <w:lang w:val="en-GB"/>
        </w:rPr>
        <w:t>Integrating</w:t>
      </w:r>
      <w:r w:rsidRPr="001177AF">
        <w:rPr>
          <w:lang w:val="en-GB"/>
        </w:rPr>
        <w:t xml:space="preserve"> innovative embedded sensors </w:t>
      </w:r>
      <w:r w:rsidR="00095157" w:rsidRPr="001177AF">
        <w:rPr>
          <w:lang w:val="en-GB"/>
        </w:rPr>
        <w:t>and</w:t>
      </w:r>
      <w:r w:rsidRPr="001177AF">
        <w:rPr>
          <w:lang w:val="en-GB"/>
        </w:rPr>
        <w:t xml:space="preserve"> wearable devices should also be implemented in future updates of DB platforms. In addition, combining </w:t>
      </w:r>
      <w:r w:rsidR="005D54DC" w:rsidRPr="001177AF">
        <w:rPr>
          <w:lang w:val="en-GB"/>
        </w:rPr>
        <w:lastRenderedPageBreak/>
        <w:t>behavioural</w:t>
      </w:r>
      <w:r w:rsidRPr="001177AF">
        <w:rPr>
          <w:lang w:val="en-GB"/>
        </w:rPr>
        <w:t xml:space="preserve"> data with sensor-based data is among the things that </w:t>
      </w:r>
      <w:r w:rsidR="005311A6" w:rsidRPr="001177AF">
        <w:rPr>
          <w:lang w:val="en-GB"/>
        </w:rPr>
        <w:t>may</w:t>
      </w:r>
      <w:r w:rsidRPr="001177AF">
        <w:rPr>
          <w:lang w:val="en-GB"/>
        </w:rPr>
        <w:t xml:space="preserve"> reveal more information about the disease. </w:t>
      </w:r>
    </w:p>
    <w:p w14:paraId="65B1920F" w14:textId="77777777" w:rsidR="005753AA" w:rsidRPr="001177AF" w:rsidRDefault="005753AA">
      <w:pPr>
        <w:rPr>
          <w:b/>
          <w:bCs/>
          <w:sz w:val="36"/>
          <w:szCs w:val="36"/>
          <w:lang w:val="en-GB"/>
        </w:rPr>
      </w:pPr>
      <w:r w:rsidRPr="001177AF">
        <w:rPr>
          <w:lang w:val="en-GB"/>
        </w:rPr>
        <w:br w:type="page"/>
      </w:r>
    </w:p>
    <w:p w14:paraId="41A995B1" w14:textId="683D3019" w:rsidR="009247E2" w:rsidRPr="001177AF" w:rsidRDefault="009247E2" w:rsidP="009A0DA0">
      <w:pPr>
        <w:pStyle w:val="Heading2"/>
        <w:rPr>
          <w:lang w:val="en-GB"/>
        </w:rPr>
      </w:pPr>
      <w:bookmarkStart w:id="38" w:name="_Toc132365738"/>
      <w:r w:rsidRPr="001177AF">
        <w:rPr>
          <w:lang w:val="en-GB"/>
        </w:rPr>
        <w:lastRenderedPageBreak/>
        <w:t>Reference</w:t>
      </w:r>
      <w:bookmarkEnd w:id="38"/>
    </w:p>
    <w:p w14:paraId="74403D5D" w14:textId="77777777" w:rsidR="00726C10" w:rsidRPr="001177AF" w:rsidRDefault="00CF6F53" w:rsidP="009E06E4">
      <w:pPr>
        <w:widowControl w:val="0"/>
        <w:autoSpaceDE w:val="0"/>
        <w:autoSpaceDN w:val="0"/>
        <w:adjustRightInd w:val="0"/>
        <w:jc w:val="both"/>
        <w:rPr>
          <w:noProof/>
          <w:lang w:val="en-GB"/>
        </w:rPr>
      </w:pPr>
      <w:r w:rsidRPr="001177AF">
        <w:rPr>
          <w:lang w:val="en-GB"/>
        </w:rPr>
        <w:fldChar w:fldCharType="begin"/>
      </w:r>
      <w:r w:rsidR="00726C10" w:rsidRPr="001177AF">
        <w:rPr>
          <w:lang w:val="en-GB"/>
        </w:rPr>
        <w:instrText>ADDIN F1000_CSL_BIBLIOGRAPHY</w:instrText>
      </w:r>
      <w:r w:rsidRPr="001177AF">
        <w:rPr>
          <w:lang w:val="en-GB"/>
        </w:rPr>
        <w:fldChar w:fldCharType="separate"/>
      </w:r>
    </w:p>
    <w:p w14:paraId="5F7F213A"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 </w:t>
      </w:r>
      <w:r w:rsidRPr="001177AF">
        <w:rPr>
          <w:noProof/>
          <w:lang w:val="en-GB"/>
        </w:rPr>
        <w:tab/>
        <w:t xml:space="preserve">Insel TR. Digital phenotyping: technology for a new science of behavior. JAMA. 2017 Oct 3;318(13):1215–6. </w:t>
      </w:r>
    </w:p>
    <w:p w14:paraId="2B2AA56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 </w:t>
      </w:r>
      <w:r w:rsidRPr="001177AF">
        <w:rPr>
          <w:noProof/>
          <w:lang w:val="en-GB"/>
        </w:rPr>
        <w:tab/>
        <w:t xml:space="preserve">Lipsmeier F, Taylor KI, Kilchenmann T, Wolf D, Scotland A, Schjodt-Eriksen J, et al. Evaluation of smartphone-based testing to generate exploratory outcome measures in a phase 1 Parkinson’s disease clinical trial. Mov Disord. 2018 Aug;33(8):1287–97. </w:t>
      </w:r>
    </w:p>
    <w:p w14:paraId="1E19545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 </w:t>
      </w:r>
      <w:r w:rsidRPr="001177AF">
        <w:rPr>
          <w:noProof/>
          <w:lang w:val="en-GB"/>
        </w:rPr>
        <w:tab/>
        <w:t xml:space="preserve">Coravos A, Khozin S, Mandl KD. Developing and adopting safe and effective digital biomarkers to improve patient outcomes. npj Digital Med. 2019 Mar 11;2(1). </w:t>
      </w:r>
    </w:p>
    <w:p w14:paraId="4CC640BC"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 </w:t>
      </w:r>
      <w:r w:rsidRPr="001177AF">
        <w:rPr>
          <w:noProof/>
          <w:lang w:val="en-GB"/>
        </w:rPr>
        <w:tab/>
        <w:t xml:space="preserve">Patel S, Lorincz K, Hughes R, Huggins N, Growdon J, Standaert D, et al. Monitoring motor fluctuations in patients with Parkinson’s disease using wearable sensors. IEEE Trans Inf Technol Biomed. 2009 Nov;13(6):864–73. </w:t>
      </w:r>
    </w:p>
    <w:p w14:paraId="6CAE5B0A"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 </w:t>
      </w:r>
      <w:r w:rsidRPr="001177AF">
        <w:rPr>
          <w:noProof/>
          <w:lang w:val="en-GB"/>
        </w:rPr>
        <w:tab/>
        <w:t xml:space="preserve">Sejdić E, Lowry KA, Bellanca J, Redfern MS, Brach JS. A comprehensive assessment of gait accelerometry signals in time, frequency and time-frequency domains. IEEE Trans Neural Syst Rehabil Eng. 2014 May;22(3):603–12. </w:t>
      </w:r>
    </w:p>
    <w:p w14:paraId="77E77A4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 </w:t>
      </w:r>
      <w:r w:rsidRPr="001177AF">
        <w:rPr>
          <w:noProof/>
          <w:lang w:val="en-GB"/>
        </w:rPr>
        <w:tab/>
        <w:t xml:space="preserve">Omberg L, Chaibub Neto E, Perumal TM, Pratap A, Tediarjo A, Adams J, et al. Remote smartphone monitoring of Parkinson’s disease and individual response to therapy. Nat Biotechnol. 2022 Apr;40(4):480–7. </w:t>
      </w:r>
    </w:p>
    <w:p w14:paraId="064BDCEE"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 </w:t>
      </w:r>
      <w:r w:rsidRPr="001177AF">
        <w:rPr>
          <w:noProof/>
          <w:lang w:val="en-GB"/>
        </w:rPr>
        <w:tab/>
        <w:t xml:space="preserve">Zhan A. High Frequency Remote Monitoring of Parkinson’s Disease via Smartphone: Platform Overview and Medication Response Detection. CoRR. 2016; </w:t>
      </w:r>
    </w:p>
    <w:p w14:paraId="27673ACE"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8. </w:t>
      </w:r>
      <w:r w:rsidRPr="001177AF">
        <w:rPr>
          <w:noProof/>
          <w:lang w:val="en-GB"/>
        </w:rPr>
        <w:tab/>
        <w:t xml:space="preserve">Prince J, Arora S, de Vos M. Big data in Parkinson’s disease: using smartphones to remotely detect longitudinal disease phenotypes. Physiol Meas. 2018 Apr 26;39(4):044005. </w:t>
      </w:r>
    </w:p>
    <w:p w14:paraId="3E47A7FC"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9. </w:t>
      </w:r>
      <w:r w:rsidRPr="001177AF">
        <w:rPr>
          <w:noProof/>
          <w:lang w:val="en-GB"/>
        </w:rPr>
        <w:tab/>
        <w:t xml:space="preserve">Hossain SM, Hnat T, Saleheen N, Nasrin NJ, Noor J, Ho B-J, et al. mCerebrum: A Mobile Sensing Software Platform for Development and Validation of Digital Biomarkers and Interventions. Proc Int Conf Embed Netw Sens Syst. 2017 Nov;2017. </w:t>
      </w:r>
    </w:p>
    <w:p w14:paraId="5E043C65"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10. </w:t>
      </w:r>
      <w:r w:rsidRPr="001177AF">
        <w:rPr>
          <w:noProof/>
          <w:lang w:val="en-GB"/>
        </w:rPr>
        <w:tab/>
        <w:t xml:space="preserve">Ranjan Y, Rashid Z, Stewart C, Kerz M, Begale M, Verbeeck D, et al. RADAR-base: An Open Source mHealth Platform for Collecting, Monitoring and Analyzing data Using Sensors, Wearables, and Mobile Devices (Preprint). 2018 Aug 29; </w:t>
      </w:r>
    </w:p>
    <w:p w14:paraId="638DE454"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11. </w:t>
      </w:r>
      <w:r w:rsidRPr="001177AF">
        <w:rPr>
          <w:noProof/>
          <w:lang w:val="en-GB"/>
        </w:rPr>
        <w:tab/>
        <w:t xml:space="preserve">Ferreira D, Kostakos V, Dey AK. AWARE: mobile context instrumentation framework. Front ICT. 2015 Apr 20;2(6):1–9. </w:t>
      </w:r>
    </w:p>
    <w:p w14:paraId="557D4B1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12. </w:t>
      </w:r>
      <w:r w:rsidRPr="001177AF">
        <w:rPr>
          <w:noProof/>
          <w:lang w:val="en-GB"/>
        </w:rPr>
        <w:tab/>
        <w:t xml:space="preserve">Torous J, Kiang MV, Lorme J, Onnela J-P. New tools for new research in psychiatry: A scalable and customizable platform to empower data driven smartphone research. JMIR Ment Health. 2016 May 5;3(2):e16. </w:t>
      </w:r>
    </w:p>
    <w:p w14:paraId="42B6DD1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13. </w:t>
      </w:r>
      <w:r w:rsidRPr="001177AF">
        <w:rPr>
          <w:noProof/>
          <w:lang w:val="en-GB"/>
        </w:rPr>
        <w:tab/>
        <w:t xml:space="preserve">Wang X, Vouk N, Heaukulani C, Buddhika T, Martanto W, Lee J, et al. HOPES: an integrative digital phenotyping platform for data collection, monitoring, and machine learning. J Med Internet Res. 2021 Mar 15;23(3):e23984. </w:t>
      </w:r>
    </w:p>
    <w:p w14:paraId="7C4CA17B"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14. </w:t>
      </w:r>
      <w:r w:rsidRPr="001177AF">
        <w:rPr>
          <w:noProof/>
          <w:lang w:val="en-GB"/>
        </w:rPr>
        <w:tab/>
        <w:t xml:space="preserve">Baran SW, Bratcher N, Dennis J, Gaburro S, Karlsson EM, Maguire S, et al. Emerging role of translational digital biomarkers within home cage monitoring technologies in preclinical drug discovery and development. Front Behav Neurosci. 2021;15:758274. </w:t>
      </w:r>
    </w:p>
    <w:p w14:paraId="22DBDBA1"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15. </w:t>
      </w:r>
      <w:r w:rsidRPr="001177AF">
        <w:rPr>
          <w:noProof/>
          <w:lang w:val="en-GB"/>
        </w:rPr>
        <w:tab/>
        <w:t xml:space="preserve">Deng K, Li Y, Zhang H, Wang J, Albin RL, Guan Y. Heterogeneous digital biomarker integration out-performs patient self-reports in predicting Parkinson’s disease. Commun Biol. 2022 Jan 17;5(1):58. </w:t>
      </w:r>
    </w:p>
    <w:p w14:paraId="6785715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16. </w:t>
      </w:r>
      <w:r w:rsidRPr="001177AF">
        <w:rPr>
          <w:noProof/>
          <w:lang w:val="en-GB"/>
        </w:rPr>
        <w:tab/>
        <w:t xml:space="preserve">Stephenson D, Badawy R, Mathur S, Tome M, Rochester L. Digital progression biomarkers as novel endpoints in clinical trials: A multistakeholder perspective. J Parkinsons Dis. 2021 Feb 11; </w:t>
      </w:r>
    </w:p>
    <w:p w14:paraId="055A5693"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lastRenderedPageBreak/>
        <w:t xml:space="preserve">17. </w:t>
      </w:r>
      <w:r w:rsidRPr="001177AF">
        <w:rPr>
          <w:noProof/>
          <w:lang w:val="en-GB"/>
        </w:rPr>
        <w:tab/>
        <w:t>Estimation of the 2020 Global Population of Parkinson’s Disease (PD) - MDS Abstracts [Internet]. [cited 2022 Jul 4]. Available from: https://www.mdsabstracts.org/abstract/estimation-of-the-2020-global-population-of-parkinsons-disease-pd/</w:t>
      </w:r>
    </w:p>
    <w:p w14:paraId="75B806D0"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18. </w:t>
      </w:r>
      <w:r w:rsidRPr="001177AF">
        <w:rPr>
          <w:noProof/>
          <w:lang w:val="en-GB"/>
        </w:rPr>
        <w:tab/>
        <w:t xml:space="preserve">Jankovic J. Parkinson’s disease: clinical features and diagnosis. J Neurol Neurosurg Psychiatry. 2008 Apr;79(4):368–76. </w:t>
      </w:r>
    </w:p>
    <w:p w14:paraId="2FEA495B"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19. </w:t>
      </w:r>
      <w:r w:rsidRPr="001177AF">
        <w:rPr>
          <w:noProof/>
          <w:lang w:val="en-GB"/>
        </w:rPr>
        <w:tab/>
        <w:t xml:space="preserve">Bang Y, Lim J, Choi HJ. Recent advances in the pathology of prodromal non-motor symptoms olfactory deficit and depression in Parkinson’s disease: clues to early diagnosis and effective treatment. Arch Pharm Res. 2021 Jun 19;44(6):588–604. </w:t>
      </w:r>
    </w:p>
    <w:p w14:paraId="4A0D0232"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20. </w:t>
      </w:r>
      <w:r w:rsidRPr="001177AF">
        <w:rPr>
          <w:noProof/>
          <w:lang w:val="en-GB"/>
        </w:rPr>
        <w:tab/>
        <w:t xml:space="preserve">Zhu B, Yin D, Zhao H, Zhang L. The immunology of Parkinson’s disease. Semin Immunopathol. 2022 Jun 8; </w:t>
      </w:r>
    </w:p>
    <w:p w14:paraId="701A25B5"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21. </w:t>
      </w:r>
      <w:r w:rsidRPr="001177AF">
        <w:rPr>
          <w:noProof/>
          <w:lang w:val="en-GB"/>
        </w:rPr>
        <w:tab/>
        <w:t xml:space="preserve">Obeso JA, Rodriguez-Oroz MC, Goetz CG, Marin C, Kordower JH, Rodriguez M, et al. Missing pieces in the Parkinson’s disease puzzle. Nat Med. 2010 Jun;16(6):653–61. </w:t>
      </w:r>
    </w:p>
    <w:p w14:paraId="36258006"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22. </w:t>
      </w:r>
      <w:r w:rsidRPr="001177AF">
        <w:rPr>
          <w:noProof/>
          <w:lang w:val="en-GB"/>
        </w:rPr>
        <w:tab/>
        <w:t xml:space="preserve">Venda LL, Cragg SJ, Buchman VL, Wade-Martins R. α-Synuclein and dopamine at the crossroads of Parkinson’s disease. Trends Neurosci. 2010 Dec;33(12):559–68. </w:t>
      </w:r>
    </w:p>
    <w:p w14:paraId="57AD35FA"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23. </w:t>
      </w:r>
      <w:r w:rsidRPr="001177AF">
        <w:rPr>
          <w:noProof/>
          <w:lang w:val="en-GB"/>
        </w:rPr>
        <w:tab/>
        <w:t xml:space="preserve">Rouaud T, Corbillé AG, Leclair-Visonneau L, de Guilhem de Lataillade A, Lionnet A, Preterre C, et al. Pathophysiology of Parkinson’s disease: Mitochondria, alpha-synuclein and much more…. Rev Neurol. 2021 Mar;177(3):260–71. </w:t>
      </w:r>
    </w:p>
    <w:p w14:paraId="2AFCA2D2"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24. </w:t>
      </w:r>
      <w:r w:rsidRPr="001177AF">
        <w:rPr>
          <w:noProof/>
          <w:lang w:val="en-GB"/>
        </w:rPr>
        <w:tab/>
        <w:t xml:space="preserve">Farrer M, Kachergus J, Forno L, Lincoln S, Wang D-S, Hulihan M, et al. Comparison of kindreds with parkinsonism and alpha-synuclein genomic multiplications. Ann Neurol. 2004 Feb;55(2):174–9. </w:t>
      </w:r>
    </w:p>
    <w:p w14:paraId="38FF1474"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25. </w:t>
      </w:r>
      <w:r w:rsidRPr="001177AF">
        <w:rPr>
          <w:noProof/>
          <w:lang w:val="en-GB"/>
        </w:rPr>
        <w:tab/>
        <w:t xml:space="preserve">Dauer W, Przedborski S. Parkinson’s disease: mechanisms and models. Neuron. 2003 Sep 11;39(6):889–909. </w:t>
      </w:r>
    </w:p>
    <w:p w14:paraId="2CC0688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26. </w:t>
      </w:r>
      <w:r w:rsidRPr="001177AF">
        <w:rPr>
          <w:noProof/>
          <w:lang w:val="en-GB"/>
        </w:rPr>
        <w:tab/>
        <w:t xml:space="preserve">Gasser T. Update on the genetics of Parkinson’s disease. Mov Disord. 2007 Sep;22 Suppl 17:S343-50. </w:t>
      </w:r>
    </w:p>
    <w:p w14:paraId="6C76DA55"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27. </w:t>
      </w:r>
      <w:r w:rsidRPr="001177AF">
        <w:rPr>
          <w:noProof/>
          <w:lang w:val="en-GB"/>
        </w:rPr>
        <w:tab/>
        <w:t xml:space="preserve">Hindle JV. Ageing, neurodegeneration and Parkinson’s disease. Age Ageing. 2010 Mar;39(2):156–61. </w:t>
      </w:r>
    </w:p>
    <w:p w14:paraId="26A2E02C"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28. </w:t>
      </w:r>
      <w:r w:rsidRPr="001177AF">
        <w:rPr>
          <w:noProof/>
          <w:lang w:val="en-GB"/>
        </w:rPr>
        <w:tab/>
        <w:t xml:space="preserve">Lema Tomé CM, Tyson T, Rey NL, Grathwohl S, Britschgi M, Brundin P. Inflammation and α-synuclein’s prion-like behavior in Parkinson’s disease--is there a link? Mol Neurobiol. 2013 Apr;47(2):561–74. </w:t>
      </w:r>
    </w:p>
    <w:p w14:paraId="517EC40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29. </w:t>
      </w:r>
      <w:r w:rsidRPr="001177AF">
        <w:rPr>
          <w:noProof/>
          <w:lang w:val="en-GB"/>
        </w:rPr>
        <w:tab/>
        <w:t xml:space="preserve">Yang W, Hamilton JL, Kopil C, Beck JC, Tanner CM, Albin RL, et al. Current and projected future economic burden of Parkinson’s disease in the U.S. npj Parkinsons Disease. 2020 Jul 9;6:15. </w:t>
      </w:r>
    </w:p>
    <w:p w14:paraId="07337520"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30. </w:t>
      </w:r>
      <w:r w:rsidRPr="001177AF">
        <w:rPr>
          <w:noProof/>
          <w:lang w:val="en-GB"/>
        </w:rPr>
        <w:tab/>
        <w:t xml:space="preserve">Dorsey ER, Papapetropoulos S, Xiong M, Kieburtz K. The first frontier: digital biomarkers for neurodegenerative disorders. Digit Biomark. 2017 Dec;1(1):6–13. </w:t>
      </w:r>
    </w:p>
    <w:p w14:paraId="5C20F6A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31. </w:t>
      </w:r>
      <w:r w:rsidRPr="001177AF">
        <w:rPr>
          <w:noProof/>
          <w:lang w:val="en-GB"/>
        </w:rPr>
        <w:tab/>
        <w:t xml:space="preserve">Goetz CG, Tilley BC, Shaftman SR, Stebbins GT, Fahn S, Martinez-Martin P, et al. Movement Disorder Society-sponsored revision of the Unified Parkinson’s Disease Rating Scale (MDS-UPDRS): scale presentation and clinimetric testing results. Mov Disord. 2008 Nov 15;23(15):2129–70. </w:t>
      </w:r>
    </w:p>
    <w:p w14:paraId="77A3876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32. </w:t>
      </w:r>
      <w:r w:rsidRPr="001177AF">
        <w:rPr>
          <w:noProof/>
          <w:lang w:val="en-GB"/>
        </w:rPr>
        <w:tab/>
        <w:t xml:space="preserve">Zhan A, Little MA, Harris DA, Abiola SO, Dorsey ER, Saria S, et al. High Frequency Remote Monitoring of Parkinson’s Disease via Smartphone: Platform Overview and Medication Response Detection. arXiv. 2016 Jan 5; </w:t>
      </w:r>
    </w:p>
    <w:p w14:paraId="578EB510"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33. </w:t>
      </w:r>
      <w:r w:rsidRPr="001177AF">
        <w:rPr>
          <w:noProof/>
          <w:lang w:val="en-GB"/>
        </w:rPr>
        <w:tab/>
        <w:t xml:space="preserve">Rovini E, Maremmani C, Cavallo F. How wearable sensors can support parkinson’s disease diagnosis and treatment: A systematic review. Front Neurosci. 2017 Oct 6;11:555. </w:t>
      </w:r>
    </w:p>
    <w:p w14:paraId="18C512A3"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34. </w:t>
      </w:r>
      <w:r w:rsidRPr="001177AF">
        <w:rPr>
          <w:noProof/>
          <w:lang w:val="en-GB"/>
        </w:rPr>
        <w:tab/>
        <w:t xml:space="preserve">Solhan MB, Trull TJ, Jahng S, Wood PK. Clinical assessment of affective instability: comparing EMA indices, questionnaire reports, and retrospective recall. Psychol Assess. 2009 Sep;21(3):425–36. </w:t>
      </w:r>
    </w:p>
    <w:p w14:paraId="5B68B94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lastRenderedPageBreak/>
        <w:t xml:space="preserve">35. </w:t>
      </w:r>
      <w:r w:rsidRPr="001177AF">
        <w:rPr>
          <w:noProof/>
          <w:lang w:val="en-GB"/>
        </w:rPr>
        <w:tab/>
        <w:t xml:space="preserve">Adler CH, Beach TG, Hentz JG, Shill HA, Caviness JN, Driver-Dunckley E, et al. Low clinical diagnostic accuracy of early vs advanced Parkinson disease: clinicopathologic study. Neurology. 2014 Jul 29;83(5):406–12. </w:t>
      </w:r>
    </w:p>
    <w:p w14:paraId="5B99A0C1" w14:textId="77777777" w:rsidR="00726C10" w:rsidRPr="001177AF" w:rsidRDefault="00726C10" w:rsidP="009E06E4">
      <w:pPr>
        <w:widowControl w:val="0"/>
        <w:autoSpaceDE w:val="0"/>
        <w:autoSpaceDN w:val="0"/>
        <w:adjustRightInd w:val="0"/>
        <w:ind w:left="560" w:hanging="560"/>
        <w:jc w:val="both"/>
        <w:rPr>
          <w:noProof/>
          <w:lang w:val="de-DE"/>
        </w:rPr>
      </w:pPr>
      <w:r w:rsidRPr="001177AF">
        <w:rPr>
          <w:noProof/>
          <w:lang w:val="en-GB"/>
        </w:rPr>
        <w:t xml:space="preserve">36. </w:t>
      </w:r>
      <w:r w:rsidRPr="001177AF">
        <w:rPr>
          <w:noProof/>
          <w:lang w:val="en-GB"/>
        </w:rPr>
        <w:tab/>
        <w:t xml:space="preserve">Hausdorff JM. Gait dynamics in Parkinson’s disease: common and distinct behavior among stride length, gait variability, and fractal-like scaling. </w:t>
      </w:r>
      <w:r w:rsidRPr="001177AF">
        <w:rPr>
          <w:noProof/>
          <w:lang w:val="de-DE"/>
        </w:rPr>
        <w:t xml:space="preserve">Chaos. 2009 Jun;19(2):026113. </w:t>
      </w:r>
    </w:p>
    <w:p w14:paraId="2FB8E78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de-DE"/>
        </w:rPr>
        <w:t xml:space="preserve">37. </w:t>
      </w:r>
      <w:r w:rsidRPr="001177AF">
        <w:rPr>
          <w:noProof/>
          <w:lang w:val="de-DE"/>
        </w:rPr>
        <w:tab/>
        <w:t xml:space="preserve">Schlachetzki JCM, Barth J, Marxreiter F, Gossler J, Kohl Z, Reinfelder S, et al. </w:t>
      </w:r>
      <w:r w:rsidRPr="001177AF">
        <w:rPr>
          <w:noProof/>
          <w:lang w:val="en-GB"/>
        </w:rPr>
        <w:t xml:space="preserve">Wearable sensors objectively measure gait parameters in Parkinson’s disease. PLoS One. 2017 Oct 11;12(10):e0183989. </w:t>
      </w:r>
    </w:p>
    <w:p w14:paraId="6396F098"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38. </w:t>
      </w:r>
      <w:r w:rsidRPr="001177AF">
        <w:rPr>
          <w:noProof/>
          <w:lang w:val="en-GB"/>
        </w:rPr>
        <w:tab/>
        <w:t xml:space="preserve">Horak FB, Mancini M. Objective biomarkers of balance and gait for Parkinson’s disease using body-worn sensors. Mov Disord. 2013 Sep 15;28(11):1544–51. </w:t>
      </w:r>
    </w:p>
    <w:p w14:paraId="3098ED28"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39. </w:t>
      </w:r>
      <w:r w:rsidRPr="001177AF">
        <w:rPr>
          <w:noProof/>
          <w:lang w:val="en-GB"/>
        </w:rPr>
        <w:tab/>
        <w:t xml:space="preserve">Rampp A, Barth J, Schülein S, Gaßmann K-G, Klucken J, Eskofier BM. Inertial sensor-based stride parameter calculation from gait sequences in geriatric patients. IEEE Trans Biomed Eng. 2015 Apr;62(4):1089–97. </w:t>
      </w:r>
    </w:p>
    <w:p w14:paraId="75CEED9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40. </w:t>
      </w:r>
      <w:r w:rsidRPr="001177AF">
        <w:rPr>
          <w:noProof/>
          <w:lang w:val="en-GB"/>
        </w:rPr>
        <w:tab/>
        <w:t xml:space="preserve">Cho Y-S, Jang S-H, Cho J-S, Kim M-J, Lee HD, Lee SY, et al. Evaluation of Validity and Reliability of Inertial Measurement Unit-Based Gait Analysis Systems. Ann Rehabil Med. 2018 Dec 28;42(6):872–83. </w:t>
      </w:r>
    </w:p>
    <w:p w14:paraId="1E7EE1A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41. </w:t>
      </w:r>
      <w:r w:rsidRPr="001177AF">
        <w:rPr>
          <w:noProof/>
          <w:lang w:val="en-GB"/>
        </w:rPr>
        <w:tab/>
        <w:t xml:space="preserve">Cancela J, Pastorino M, Arredondo MT, Nikita KS, Villagra F, Pastor MA. Feasibility study of a wearable system based on a wireless body area network for gait assessment in Parkinson’s disease patients. Sensors (Basel). 2014 Mar 7;14(3):4618–33. </w:t>
      </w:r>
    </w:p>
    <w:p w14:paraId="04A384E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42. </w:t>
      </w:r>
      <w:r w:rsidRPr="001177AF">
        <w:rPr>
          <w:noProof/>
          <w:lang w:val="en-GB"/>
        </w:rPr>
        <w:tab/>
        <w:t xml:space="preserve">San-Segundo R, Torres-Sánchez R, Hodgins J, De la Torre F. Increasing robustness in the detection of freezing of gait in parkinson’s disease. Electronics. 2019 Jan 22;8(2):119. </w:t>
      </w:r>
    </w:p>
    <w:p w14:paraId="102F8052"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43. </w:t>
      </w:r>
      <w:r w:rsidRPr="001177AF">
        <w:rPr>
          <w:noProof/>
          <w:lang w:val="en-GB"/>
        </w:rPr>
        <w:tab/>
        <w:t xml:space="preserve">Bächlin M, Plotnik M, Roggen D, Maidan I, Hausdorff JM, Giladi N, et al. Wearable assistant for Parkinson’s disease patients with the freezing of gait symptom. IEEE Trans Inf Technol Biomed. 2010 Mar;14(2):436–46. </w:t>
      </w:r>
    </w:p>
    <w:p w14:paraId="095A85C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44. </w:t>
      </w:r>
      <w:r w:rsidRPr="001177AF">
        <w:rPr>
          <w:noProof/>
          <w:lang w:val="en-GB"/>
        </w:rPr>
        <w:tab/>
        <w:t xml:space="preserve">Blin O, Ferrandez AM, Serratrice G. Quantitative analysis of gait in Parkinson patients: increased variability of stride length. J Neurol Sci. 1990 Aug;98(1):91–7. </w:t>
      </w:r>
    </w:p>
    <w:p w14:paraId="70CC1CA1"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45. </w:t>
      </w:r>
      <w:r w:rsidRPr="001177AF">
        <w:rPr>
          <w:noProof/>
          <w:lang w:val="en-GB"/>
        </w:rPr>
        <w:tab/>
        <w:t xml:space="preserve">Prieto TE, Myklebust JB, Hoffmann RG, Lovett EG, Myklebust BM. Measures of postural steadiness: differences between healthy young and elderly adults. IEEE Trans Biomed Eng. 1996 Sep;43(9):956–66. </w:t>
      </w:r>
    </w:p>
    <w:p w14:paraId="617342CC"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46. </w:t>
      </w:r>
      <w:r w:rsidRPr="001177AF">
        <w:rPr>
          <w:noProof/>
          <w:lang w:val="en-GB"/>
        </w:rPr>
        <w:tab/>
        <w:t xml:space="preserve">Martinez-Mendez R, Sekine M, Tamura T. Postural sway parameters using a triaxial accelerometer: comparing elderly and young healthy adults. Comput Methods Biomech Biomed Engin. 2012;15(9):899–910. </w:t>
      </w:r>
    </w:p>
    <w:p w14:paraId="1DD6851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47. </w:t>
      </w:r>
      <w:r w:rsidRPr="001177AF">
        <w:rPr>
          <w:noProof/>
          <w:lang w:val="en-GB"/>
        </w:rPr>
        <w:tab/>
        <w:t xml:space="preserve">Palakurthi B, Burugupally SP. Postural instability in parkinson’s disease: A review. Brain Sci. 2019 Sep 18;9(9). </w:t>
      </w:r>
    </w:p>
    <w:p w14:paraId="49BDB726" w14:textId="77777777" w:rsidR="00726C10" w:rsidRPr="001177AF" w:rsidRDefault="00726C10" w:rsidP="009E06E4">
      <w:pPr>
        <w:widowControl w:val="0"/>
        <w:autoSpaceDE w:val="0"/>
        <w:autoSpaceDN w:val="0"/>
        <w:adjustRightInd w:val="0"/>
        <w:ind w:left="560" w:hanging="560"/>
        <w:jc w:val="both"/>
        <w:rPr>
          <w:noProof/>
          <w:lang w:val="de-DE"/>
        </w:rPr>
      </w:pPr>
      <w:r w:rsidRPr="001177AF">
        <w:rPr>
          <w:noProof/>
          <w:lang w:val="en-GB"/>
        </w:rPr>
        <w:t xml:space="preserve">48. </w:t>
      </w:r>
      <w:r w:rsidRPr="001177AF">
        <w:rPr>
          <w:noProof/>
          <w:lang w:val="en-GB"/>
        </w:rPr>
        <w:tab/>
        <w:t xml:space="preserve">Foreman KB, Sondrup S, Dromey C, Jarvis E, Nissen S, Dibble LE. The effects of practice on the concurrent performance of a speech and postural task in persons with Parkinson disease and healthy controls. </w:t>
      </w:r>
      <w:r w:rsidRPr="001177AF">
        <w:rPr>
          <w:noProof/>
          <w:lang w:val="de-DE"/>
        </w:rPr>
        <w:t xml:space="preserve">Parkinsons Dis. 2013 Jun 11;2013:987621. </w:t>
      </w:r>
    </w:p>
    <w:p w14:paraId="0E281230"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de-DE"/>
        </w:rPr>
        <w:t xml:space="preserve">49. </w:t>
      </w:r>
      <w:r w:rsidRPr="001177AF">
        <w:rPr>
          <w:noProof/>
          <w:lang w:val="de-DE"/>
        </w:rPr>
        <w:tab/>
        <w:t xml:space="preserve">Mahadevan N, Demanuele C, Zhang H, Volfson D, Ho B, Erb MK, et al. </w:t>
      </w:r>
      <w:r w:rsidRPr="001177AF">
        <w:rPr>
          <w:noProof/>
          <w:lang w:val="en-GB"/>
        </w:rPr>
        <w:t xml:space="preserve">Development of digital biomarkers for resting tremor and bradykinesia using a wrist-worn wearable device. npj Digital Med. 2020 Jan 15;3:5. </w:t>
      </w:r>
    </w:p>
    <w:p w14:paraId="324E65B3"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50. </w:t>
      </w:r>
      <w:r w:rsidRPr="001177AF">
        <w:rPr>
          <w:noProof/>
          <w:lang w:val="en-GB"/>
        </w:rPr>
        <w:tab/>
        <w:t xml:space="preserve">Cancela J, Pastorino M, Tzallas AT, Tsipouras MG, Rigas G, Arredondo MT, et al. Wearability assessment of a wearable system for Parkinson’s disease remote monitoring based on a body area network of sensors. Sensors (Basel). 2014 Sep 16;14(9):17235–55. </w:t>
      </w:r>
    </w:p>
    <w:p w14:paraId="04A0489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51. </w:t>
      </w:r>
      <w:r w:rsidRPr="001177AF">
        <w:rPr>
          <w:noProof/>
          <w:lang w:val="en-GB"/>
        </w:rPr>
        <w:tab/>
        <w:t xml:space="preserve">Palmerini L, Rocchi L, Mellone S, Valzania F, Chiari L. Feature selection for accelerometer-based posture analysis in Parkinson’s disease. IEEE Trans Inf </w:t>
      </w:r>
      <w:r w:rsidRPr="001177AF">
        <w:rPr>
          <w:noProof/>
          <w:lang w:val="en-GB"/>
        </w:rPr>
        <w:lastRenderedPageBreak/>
        <w:t xml:space="preserve">Technol Biomed. 2011 May;15(3):481–90. </w:t>
      </w:r>
    </w:p>
    <w:p w14:paraId="140D840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52. </w:t>
      </w:r>
      <w:r w:rsidRPr="001177AF">
        <w:rPr>
          <w:noProof/>
          <w:lang w:val="en-GB"/>
        </w:rPr>
        <w:tab/>
        <w:t xml:space="preserve">Aghanavesi S, Nyholm D, Senek M, Bergquist F, Memedi M. A smartphone-based system to quantify dexterity in Parkinson’s disease patients. Informatics in Medicine Unlocked. 2017;9:11–7. </w:t>
      </w:r>
    </w:p>
    <w:p w14:paraId="658FAD3A"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53. </w:t>
      </w:r>
      <w:r w:rsidRPr="001177AF">
        <w:rPr>
          <w:noProof/>
          <w:lang w:val="en-GB"/>
        </w:rPr>
        <w:tab/>
        <w:t xml:space="preserve">Ma A, Lau KK, Thyagarajan D. Voice changes in Parkinson’s disease: What are they telling us? J Clin Neurosci. 2020 Feb;72:1–7. </w:t>
      </w:r>
    </w:p>
    <w:p w14:paraId="53F5875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54. </w:t>
      </w:r>
      <w:r w:rsidRPr="001177AF">
        <w:rPr>
          <w:noProof/>
          <w:lang w:val="en-GB"/>
        </w:rPr>
        <w:tab/>
        <w:t xml:space="preserve">Chiaramonte R, Bonfiglio M. Acoustic analysis of voice in Parkinson’s disease: a systematic review of voice disability and meta-analysis of studies. Rev Neurol. 2020 Jun 1;70(11):393–405. </w:t>
      </w:r>
    </w:p>
    <w:p w14:paraId="0D565626"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55. </w:t>
      </w:r>
      <w:r w:rsidRPr="001177AF">
        <w:rPr>
          <w:noProof/>
          <w:lang w:val="en-GB"/>
        </w:rPr>
        <w:tab/>
        <w:t xml:space="preserve">Tracy JM, Özkanca Y, Atkins DC, Hosseini Ghomi R. Investigating voice as a biomarker: Deep phenotyping methods for early detection of Parkinson’s disease. J Biomed Inform. 2020 Apr;104:103362. </w:t>
      </w:r>
    </w:p>
    <w:p w14:paraId="4433AA1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56. </w:t>
      </w:r>
      <w:r w:rsidRPr="001177AF">
        <w:rPr>
          <w:noProof/>
          <w:lang w:val="en-GB"/>
        </w:rPr>
        <w:tab/>
        <w:t xml:space="preserve">Little MA, McSharry PE, Roberts SJ, Costello DAE, Moroz IM. Exploiting nonlinear recurrence and fractal scaling properties for voice disorder detection. Biomed Eng Online. 2007 Jun 26;6:23. </w:t>
      </w:r>
    </w:p>
    <w:p w14:paraId="0D116710"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57. </w:t>
      </w:r>
      <w:r w:rsidRPr="001177AF">
        <w:rPr>
          <w:noProof/>
          <w:lang w:val="en-GB"/>
        </w:rPr>
        <w:tab/>
        <w:t xml:space="preserve">Skodda S, Grönheit W, Mancinelli N, Schlegel U. Progression of voice and speech impairment in the course of Parkinson’s disease: a longitudinal study. Parkinsons Dis. 2013 Dec 10;2013:389195. </w:t>
      </w:r>
    </w:p>
    <w:p w14:paraId="6FAB8C74"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58. </w:t>
      </w:r>
      <w:r w:rsidRPr="001177AF">
        <w:rPr>
          <w:noProof/>
          <w:lang w:val="en-GB"/>
        </w:rPr>
        <w:tab/>
        <w:t xml:space="preserve">Schwab P, Karlen W. PhoneMD: Learning to Diagnose Parkinson’s Disease from Smartphone Data. AAAI. 2019 Jul 17;33:1118–25. </w:t>
      </w:r>
    </w:p>
    <w:p w14:paraId="23382E76"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59. </w:t>
      </w:r>
      <w:r w:rsidRPr="001177AF">
        <w:rPr>
          <w:noProof/>
          <w:lang w:val="en-GB"/>
        </w:rPr>
        <w:tab/>
        <w:t xml:space="preserve">Arora S, Venkataraman V, Zhan A, Donohue S, Biglan KM, Dorsey ER, et al. Detecting and monitoring the symptoms of Parkinson’s disease using smartphones: A pilot study. Parkinsonism Relat Disord. 2015 Jun;21(6):650–3. </w:t>
      </w:r>
    </w:p>
    <w:p w14:paraId="3D5B2322"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60. </w:t>
      </w:r>
      <w:r w:rsidRPr="001177AF">
        <w:rPr>
          <w:noProof/>
          <w:lang w:val="en-GB"/>
        </w:rPr>
        <w:tab/>
        <w:t xml:space="preserve">Prince J, Andreotti F, De Vos M. Multi-Source Ensemble Learning for the Remote Prediction of Parkinson’s Disease in the Presence of Source-Wise Missing Data. IEEE Trans Biomed Eng. 2019;66(5):1402–11. </w:t>
      </w:r>
    </w:p>
    <w:p w14:paraId="6C5FA704"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61. </w:t>
      </w:r>
      <w:r w:rsidRPr="001177AF">
        <w:rPr>
          <w:noProof/>
          <w:lang w:val="en-GB"/>
        </w:rPr>
        <w:tab/>
        <w:t xml:space="preserve">Tsanas A, Little MA, McSharry PE, Ramig LO. Nonlinear speech analysis algorithms mapped to a standard metric achieve clinically useful quantification of average Parkinson’s disease symptom severity. J R Soc Interface. 2011 Jun 6;8(59):842–55. </w:t>
      </w:r>
    </w:p>
    <w:p w14:paraId="2C97323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62. </w:t>
      </w:r>
      <w:r w:rsidRPr="001177AF">
        <w:rPr>
          <w:noProof/>
          <w:lang w:val="en-GB"/>
        </w:rPr>
        <w:tab/>
        <w:t xml:space="preserve">Cheng W-Y, Scotland A, Lipsmeier F, Kilchenmann T, Jin L, Schjodt-Eriksen J, et al. Human Activity Recognition from Sensor-Based Large-Scale Continuous Monitoring of Parkinson’s Disease Patients. 2017 IEEE/ACM International Conference on Connected Health: Applications, Systems and Engineering Technologies (CHASE). IEEE; 2017. p. 249–50. </w:t>
      </w:r>
    </w:p>
    <w:p w14:paraId="3F6E9298"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63. </w:t>
      </w:r>
      <w:r w:rsidRPr="001177AF">
        <w:rPr>
          <w:noProof/>
          <w:lang w:val="en-GB"/>
        </w:rPr>
        <w:tab/>
        <w:t xml:space="preserve">Kabelac Z, Tarolli CG, Snyder C, Feldman B, Glidden A, Hsu C-Y, et al. Passive monitoring at home: A pilot study in parkinson disease. Digit Biomark. 2019 Apr 30;3(1):22–30. </w:t>
      </w:r>
    </w:p>
    <w:p w14:paraId="0FFA9B8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64. </w:t>
      </w:r>
      <w:r w:rsidRPr="001177AF">
        <w:rPr>
          <w:noProof/>
          <w:lang w:val="en-GB"/>
        </w:rPr>
        <w:tab/>
        <w:t xml:space="preserve">Roussos G, Herrero TR, Hill DL, Dowling AV, L T M Müller M, Evers LJW, et al. Identifying and characterising sources of variability in digital outcome measures in Parkinson’s disease. npj Digital Med. 2022 Jul 15;5(1):93. </w:t>
      </w:r>
    </w:p>
    <w:p w14:paraId="1C2E2AE5"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65. </w:t>
      </w:r>
      <w:r w:rsidRPr="001177AF">
        <w:rPr>
          <w:noProof/>
          <w:lang w:val="en-GB"/>
        </w:rPr>
        <w:tab/>
        <w:t xml:space="preserve">Chaibub Neto E, Pratap A, Perumal TM, Tummalacherla M, Snyder P, Bot BM, et al. Detecting the impact of subject characteristics on machine learning-based diagnostic applications. npj Digital Med. 2019 Oct 11;2:99. </w:t>
      </w:r>
    </w:p>
    <w:p w14:paraId="32304F4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de-DE"/>
        </w:rPr>
        <w:t xml:space="preserve">66. </w:t>
      </w:r>
      <w:r w:rsidRPr="001177AF">
        <w:rPr>
          <w:noProof/>
          <w:lang w:val="de-DE"/>
        </w:rPr>
        <w:tab/>
        <w:t xml:space="preserve">Bot BM, Suver C, Neto EC, Kellen M, Klein A, Bare C, et al. </w:t>
      </w:r>
      <w:r w:rsidRPr="001177AF">
        <w:rPr>
          <w:noProof/>
          <w:lang w:val="en-GB"/>
        </w:rPr>
        <w:t xml:space="preserve">The mPower study, Parkinson disease mobile data collected using ResearchKit. Sci Data. 2016 Mar 3;3:160011. </w:t>
      </w:r>
    </w:p>
    <w:p w14:paraId="025E70ED"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67. </w:t>
      </w:r>
      <w:r w:rsidRPr="001177AF">
        <w:rPr>
          <w:noProof/>
          <w:lang w:val="en-GB"/>
        </w:rPr>
        <w:tab/>
        <w:t xml:space="preserve">Espay AJ, Bonato P, Nahab FB, Maetzler W, Dean JM, Klucken J, et al. Technology in Parkinson’s disease: Challenges and opportunities. Mov Disord. 2016 Sep;31(9):1272–82. </w:t>
      </w:r>
    </w:p>
    <w:p w14:paraId="7C1ED98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de-DE"/>
        </w:rPr>
        <w:lastRenderedPageBreak/>
        <w:t xml:space="preserve">68. </w:t>
      </w:r>
      <w:r w:rsidRPr="001177AF">
        <w:rPr>
          <w:noProof/>
          <w:lang w:val="de-DE"/>
        </w:rPr>
        <w:tab/>
        <w:t xml:space="preserve">Rentz C, Far MS, Boltes M, Schnitzler A, Amunts K, Dukart J, et al. </w:t>
      </w:r>
      <w:r w:rsidRPr="001177AF">
        <w:rPr>
          <w:noProof/>
          <w:lang w:val="en-GB"/>
        </w:rPr>
        <w:t xml:space="preserve">System Comparison for Gait and Balance Monitoring Used for the Evaluation of a Home-Based Training. Sensors (Basel). 2022 Jun 30;22(13). </w:t>
      </w:r>
    </w:p>
    <w:p w14:paraId="468D3C43"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69. </w:t>
      </w:r>
      <w:r w:rsidRPr="001177AF">
        <w:rPr>
          <w:noProof/>
          <w:lang w:val="en-GB"/>
        </w:rPr>
        <w:tab/>
        <w:t xml:space="preserve">Sahandi Far M, Eickhoff SB, Goni M, Dukart J. Exploring Test-Retest Reliability and Longitudinal Stability of Digital Biomarkers for Parkinson Disease in the m-Power Data Set: Cohort Study. J Med Internet Res. 2021 Sep 13;23(9):e26608. </w:t>
      </w:r>
    </w:p>
    <w:p w14:paraId="334DA3BE"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70. </w:t>
      </w:r>
      <w:r w:rsidRPr="001177AF">
        <w:rPr>
          <w:noProof/>
          <w:lang w:val="en-GB"/>
        </w:rPr>
        <w:tab/>
        <w:t xml:space="preserve">Olson M, Lockhart TE, Lieberman A. Motor learning deficits in parkinson’s disease (PD) and their effect on training response in gait and balance: A narrative review. Front Neurol. 2019 Feb 7;10:62. </w:t>
      </w:r>
    </w:p>
    <w:p w14:paraId="448F7BDA"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71. </w:t>
      </w:r>
      <w:r w:rsidRPr="001177AF">
        <w:rPr>
          <w:noProof/>
          <w:lang w:val="en-GB"/>
        </w:rPr>
        <w:tab/>
        <w:t xml:space="preserve">Krebs HI, Hogan N, Hening W, Adamovich SV, Poizner H. Procedural motor learning in Parkinson’s disease. Exp Brain Res. 2001 Dec;141(4):425–37. </w:t>
      </w:r>
    </w:p>
    <w:p w14:paraId="4F8F2D24"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72. </w:t>
      </w:r>
      <w:r w:rsidRPr="001177AF">
        <w:rPr>
          <w:noProof/>
          <w:lang w:val="en-GB"/>
        </w:rPr>
        <w:tab/>
        <w:t xml:space="preserve">Behrman AL, Cauraugh JH, Light KE. Practice as an intervention to improve speeded motor performance and motor learning in Parkinson’s disease. J Neurol Sci. 2000 Mar;174(2):127–36. </w:t>
      </w:r>
    </w:p>
    <w:p w14:paraId="42C39AD7"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73. </w:t>
      </w:r>
      <w:r w:rsidRPr="001177AF">
        <w:rPr>
          <w:noProof/>
          <w:lang w:val="en-GB"/>
        </w:rPr>
        <w:tab/>
        <w:t>Demographics of Mobile Device Ownership and Adoption in the United States | Pew Research Center [Internet]. [cited 2022 Dec 14]. Available from: https://www.pewresearch.org/internet/fact-sheet/mobile/</w:t>
      </w:r>
    </w:p>
    <w:p w14:paraId="6517FEF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74. </w:t>
      </w:r>
      <w:r w:rsidRPr="001177AF">
        <w:rPr>
          <w:noProof/>
          <w:lang w:val="en-GB"/>
        </w:rPr>
        <w:tab/>
        <w:t xml:space="preserve">Badawy R, Raykov YP, Evers LJW, Bloem BR, Faber MJ, Zhan A, et al. Automated quality control for sensor based symptom measurement performed outside the lab. Sensors (Basel). 2018 Apr 16;18(4). </w:t>
      </w:r>
    </w:p>
    <w:p w14:paraId="649E751F"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75. </w:t>
      </w:r>
      <w:r w:rsidRPr="001177AF">
        <w:rPr>
          <w:noProof/>
          <w:lang w:val="en-GB"/>
        </w:rPr>
        <w:tab/>
        <w:t xml:space="preserve">Goñi M, Eickhoff S, Far MS, Patil K, Dukart J. Limited diagnostic accuracy of smartphone-based digital biomarkers for Parkinson’s disease in a remotely-administered setting. medRxiv. 2021 Jan 15; </w:t>
      </w:r>
    </w:p>
    <w:p w14:paraId="2E000319"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76. </w:t>
      </w:r>
      <w:r w:rsidRPr="001177AF">
        <w:rPr>
          <w:noProof/>
          <w:lang w:val="en-GB"/>
        </w:rPr>
        <w:tab/>
        <w:t xml:space="preserve">Neto EC, Pratap A, Perumal TM, Tummalacherla M, Bot BM, Mangravite L, et al. Using permutations to assess confounding in machine learning applications for digital health. arXiv. 2018; </w:t>
      </w:r>
    </w:p>
    <w:p w14:paraId="5183B1F2" w14:textId="77777777" w:rsidR="00726C10" w:rsidRPr="001177AF" w:rsidRDefault="00726C10" w:rsidP="009E06E4">
      <w:pPr>
        <w:widowControl w:val="0"/>
        <w:autoSpaceDE w:val="0"/>
        <w:autoSpaceDN w:val="0"/>
        <w:adjustRightInd w:val="0"/>
        <w:ind w:left="560" w:hanging="560"/>
        <w:jc w:val="both"/>
        <w:rPr>
          <w:noProof/>
          <w:lang w:val="en-GB"/>
        </w:rPr>
      </w:pPr>
      <w:r w:rsidRPr="001177AF">
        <w:rPr>
          <w:noProof/>
          <w:lang w:val="en-GB"/>
        </w:rPr>
        <w:t xml:space="preserve">77. </w:t>
      </w:r>
      <w:r w:rsidRPr="001177AF">
        <w:rPr>
          <w:noProof/>
          <w:lang w:val="en-GB"/>
        </w:rPr>
        <w:tab/>
        <w:t xml:space="preserve">Saeb S, Lonini L, Jayaraman A, Mohr DC, Kording KP. The need to approximate the use-case in clinical machine learning. Gigascience. 2017 May 1;6(5):1–9. </w:t>
      </w:r>
    </w:p>
    <w:p w14:paraId="320C3F5F" w14:textId="444E5EEA" w:rsidR="009D3AD4" w:rsidRPr="001177AF" w:rsidRDefault="00CF6F53" w:rsidP="00726C10">
      <w:pPr>
        <w:widowControl w:val="0"/>
        <w:autoSpaceDE w:val="0"/>
        <w:autoSpaceDN w:val="0"/>
        <w:adjustRightInd w:val="0"/>
        <w:jc w:val="both"/>
        <w:rPr>
          <w:lang w:val="en-GB"/>
        </w:rPr>
      </w:pPr>
      <w:r w:rsidRPr="001177AF">
        <w:rPr>
          <w:lang w:val="en-GB"/>
        </w:rPr>
        <w:fldChar w:fldCharType="end"/>
      </w:r>
    </w:p>
    <w:p w14:paraId="62F450CA" w14:textId="130BE565" w:rsidR="005753AA" w:rsidRPr="001177AF" w:rsidRDefault="005753AA">
      <w:pPr>
        <w:rPr>
          <w:lang w:val="en-GB"/>
        </w:rPr>
      </w:pPr>
      <w:r w:rsidRPr="001177AF">
        <w:rPr>
          <w:lang w:val="en-GB"/>
        </w:rPr>
        <w:br w:type="page"/>
      </w:r>
    </w:p>
    <w:p w14:paraId="6CBE21EF" w14:textId="77777777" w:rsidR="005753AA" w:rsidRPr="001177AF" w:rsidRDefault="005753AA" w:rsidP="005753AA">
      <w:pPr>
        <w:pStyle w:val="Heading2"/>
        <w:jc w:val="both"/>
        <w:rPr>
          <w:lang w:val="en-GB"/>
        </w:rPr>
        <w:sectPr w:rsidR="005753AA" w:rsidRPr="001177AF" w:rsidSect="00637D61">
          <w:footerReference w:type="default" r:id="rId151"/>
          <w:pgSz w:w="11906" w:h="16838"/>
          <w:pgMar w:top="1418" w:right="1418" w:bottom="1418" w:left="1985" w:header="709" w:footer="709" w:gutter="0"/>
          <w:pgNumType w:start="13"/>
          <w:cols w:space="708"/>
          <w:docGrid w:linePitch="360"/>
        </w:sectPr>
      </w:pPr>
    </w:p>
    <w:p w14:paraId="01C63D29" w14:textId="77777777" w:rsidR="005753AA" w:rsidRPr="001177AF" w:rsidRDefault="005753AA" w:rsidP="005753AA">
      <w:pPr>
        <w:pStyle w:val="Heading2"/>
        <w:jc w:val="both"/>
        <w:rPr>
          <w:lang w:val="en-GB"/>
        </w:rPr>
      </w:pPr>
      <w:bookmarkStart w:id="39" w:name="_Toc132320077"/>
      <w:bookmarkStart w:id="40" w:name="_Toc132365739"/>
      <w:r w:rsidRPr="001177AF">
        <w:rPr>
          <w:lang w:val="en-GB"/>
        </w:rPr>
        <w:lastRenderedPageBreak/>
        <w:t>Acknowledgement</w:t>
      </w:r>
      <w:bookmarkEnd w:id="39"/>
      <w:bookmarkEnd w:id="40"/>
    </w:p>
    <w:p w14:paraId="2D24F070" w14:textId="4C038DFD" w:rsidR="005753AA" w:rsidRPr="001177AF" w:rsidRDefault="005753AA" w:rsidP="005753AA">
      <w:pPr>
        <w:spacing w:line="360" w:lineRule="auto"/>
        <w:jc w:val="both"/>
        <w:rPr>
          <w:lang w:val="en-GB"/>
        </w:rPr>
      </w:pPr>
      <w:r w:rsidRPr="001177AF">
        <w:rPr>
          <w:lang w:val="en-GB"/>
        </w:rPr>
        <w:t xml:space="preserve">This dissertation could not have been written without the assistance of </w:t>
      </w:r>
      <w:r w:rsidR="00FA503C" w:rsidRPr="001177AF">
        <w:rPr>
          <w:lang w:val="en-GB"/>
        </w:rPr>
        <w:t>several</w:t>
      </w:r>
      <w:r w:rsidRPr="001177AF">
        <w:rPr>
          <w:lang w:val="en-GB"/>
        </w:rPr>
        <w:t xml:space="preserve"> people to whom I am greatly indebted.</w:t>
      </w:r>
    </w:p>
    <w:p w14:paraId="7D28C869" w14:textId="3F6B0FC8" w:rsidR="005753AA" w:rsidRPr="001177AF" w:rsidRDefault="005753AA" w:rsidP="005753AA">
      <w:pPr>
        <w:spacing w:line="360" w:lineRule="auto"/>
        <w:jc w:val="both"/>
        <w:rPr>
          <w:lang w:val="en-GB"/>
        </w:rPr>
      </w:pPr>
      <w:r w:rsidRPr="001177AF">
        <w:rPr>
          <w:lang w:val="en-GB"/>
        </w:rPr>
        <w:t xml:space="preserve">I would like to express my gratitude to my direct supervisor PD. </w:t>
      </w:r>
      <w:r w:rsidR="00F935CF" w:rsidRPr="001177AF">
        <w:rPr>
          <w:lang w:val="en-GB"/>
        </w:rPr>
        <w:t>Dr</w:t>
      </w:r>
      <w:r w:rsidRPr="001177AF">
        <w:rPr>
          <w:lang w:val="en-GB"/>
        </w:rPr>
        <w:t xml:space="preserve"> Juergen Dukart for his guidance, support, and encouragement throughout my study. I would like to express my appreciation to Prof. </w:t>
      </w:r>
      <w:r w:rsidR="00F935CF" w:rsidRPr="001177AF">
        <w:rPr>
          <w:lang w:val="en-GB"/>
        </w:rPr>
        <w:t>Dr</w:t>
      </w:r>
      <w:r w:rsidRPr="001177AF">
        <w:rPr>
          <w:lang w:val="en-GB"/>
        </w:rPr>
        <w:t xml:space="preserve"> Simon B. Eickhoff for all his helpful and kind supervision. I greatly appreciate Prof. </w:t>
      </w:r>
      <w:r w:rsidR="00F935CF" w:rsidRPr="001177AF">
        <w:rPr>
          <w:lang w:val="en-GB"/>
        </w:rPr>
        <w:t>Dr</w:t>
      </w:r>
      <w:r w:rsidRPr="001177AF">
        <w:rPr>
          <w:lang w:val="en-GB"/>
        </w:rPr>
        <w:t xml:space="preserve"> Oliver </w:t>
      </w:r>
      <w:proofErr w:type="spellStart"/>
      <w:r w:rsidRPr="001177AF">
        <w:rPr>
          <w:lang w:val="en-GB"/>
        </w:rPr>
        <w:t>Kuß</w:t>
      </w:r>
      <w:proofErr w:type="spellEnd"/>
      <w:r w:rsidRPr="001177AF">
        <w:rPr>
          <w:lang w:val="en-GB"/>
        </w:rPr>
        <w:t xml:space="preserve"> for his support and guidance.</w:t>
      </w:r>
    </w:p>
    <w:p w14:paraId="209D5F2E" w14:textId="790FE953" w:rsidR="005753AA" w:rsidRPr="001177AF" w:rsidRDefault="005753AA" w:rsidP="005753AA">
      <w:pPr>
        <w:spacing w:line="360" w:lineRule="auto"/>
        <w:jc w:val="both"/>
        <w:rPr>
          <w:lang w:val="en-GB"/>
        </w:rPr>
      </w:pPr>
      <w:r w:rsidRPr="001177AF">
        <w:rPr>
          <w:lang w:val="en-GB"/>
        </w:rPr>
        <w:t xml:space="preserve">I would also like to thank all the co-authors of my papers, without whom this effort could not have been completed. In addition, I would like to thank the committee members of my thesis </w:t>
      </w:r>
      <w:r w:rsidR="005D54DC" w:rsidRPr="001177AF">
        <w:rPr>
          <w:lang w:val="en-GB"/>
        </w:rPr>
        <w:t>defence</w:t>
      </w:r>
      <w:r w:rsidRPr="001177AF">
        <w:rPr>
          <w:lang w:val="en-GB"/>
        </w:rPr>
        <w:t xml:space="preserve"> for their insightful feedback.</w:t>
      </w:r>
    </w:p>
    <w:p w14:paraId="48191C20" w14:textId="77777777" w:rsidR="00F935CF" w:rsidRPr="001177AF" w:rsidRDefault="005753AA" w:rsidP="005753AA">
      <w:pPr>
        <w:spacing w:line="360" w:lineRule="auto"/>
        <w:jc w:val="both"/>
        <w:rPr>
          <w:lang w:val="en-GB"/>
        </w:rPr>
      </w:pPr>
      <w:r w:rsidRPr="001177AF">
        <w:rPr>
          <w:lang w:val="en-GB"/>
        </w:rPr>
        <w:t xml:space="preserve">I would like to acknowledge the funding sources for my projects: </w:t>
      </w:r>
      <w:r w:rsidR="00F935CF" w:rsidRPr="001177AF">
        <w:rPr>
          <w:lang w:val="en-GB"/>
        </w:rPr>
        <w:t>The</w:t>
      </w:r>
      <w:r w:rsidRPr="001177AF">
        <w:rPr>
          <w:lang w:val="en-GB"/>
        </w:rPr>
        <w:t xml:space="preserve"> Human Brain Project, supported by the European Union's Horizon 2020 Framework Program for Research and Innovation under Specific Grant Agreement No. 785907. (Human Brain Project SGA2). </w:t>
      </w:r>
    </w:p>
    <w:p w14:paraId="4A6C151A" w14:textId="707809B3" w:rsidR="002F7CFF" w:rsidRPr="001177AF" w:rsidRDefault="005753AA" w:rsidP="005753AA">
      <w:pPr>
        <w:spacing w:line="360" w:lineRule="auto"/>
        <w:jc w:val="both"/>
        <w:rPr>
          <w:lang w:val="en-GB"/>
        </w:rPr>
      </w:pPr>
      <w:r w:rsidRPr="001177AF">
        <w:rPr>
          <w:lang w:val="en-GB"/>
        </w:rPr>
        <w:t xml:space="preserve">Finally, I also thank the Research </w:t>
      </w:r>
      <w:r w:rsidR="005D54DC" w:rsidRPr="001177AF">
        <w:rPr>
          <w:lang w:val="en-GB"/>
        </w:rPr>
        <w:t>Centre</w:t>
      </w:r>
      <w:r w:rsidRPr="001177AF">
        <w:rPr>
          <w:lang w:val="en-GB"/>
        </w:rPr>
        <w:t xml:space="preserve"> Jülich for providing all financial and computational resources and all Institute of Neuroscience and Medicine, Brain &amp; Behaviour (INM-7) members for all the support and good time we shared.</w:t>
      </w:r>
    </w:p>
    <w:sectPr w:rsidR="002F7CFF" w:rsidRPr="001177AF" w:rsidSect="00950F2E">
      <w:footerReference w:type="default" r:id="rId152"/>
      <w:pgSz w:w="11906" w:h="16838"/>
      <w:pgMar w:top="1418" w:right="1418" w:bottom="1418" w:left="1985"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0CED90" w14:textId="77777777" w:rsidR="00CE42F7" w:rsidRDefault="00CE42F7" w:rsidP="00460723">
      <w:r>
        <w:separator/>
      </w:r>
    </w:p>
  </w:endnote>
  <w:endnote w:type="continuationSeparator" w:id="0">
    <w:p w14:paraId="3B2DECB6" w14:textId="77777777" w:rsidR="00CE42F7" w:rsidRDefault="00CE42F7" w:rsidP="00460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8882346"/>
      <w:docPartObj>
        <w:docPartGallery w:val="Page Numbers (Bottom of Page)"/>
        <w:docPartUnique/>
      </w:docPartObj>
    </w:sdtPr>
    <w:sdtContent>
      <w:p w14:paraId="72852D10" w14:textId="0BB62ACE" w:rsidR="00541854" w:rsidRDefault="00541854" w:rsidP="008301E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A6306">
          <w:rPr>
            <w:rStyle w:val="PageNumber"/>
            <w:noProof/>
          </w:rPr>
          <w:t>IV</w:t>
        </w:r>
        <w:r>
          <w:rPr>
            <w:rStyle w:val="PageNumber"/>
          </w:rPr>
          <w:fldChar w:fldCharType="end"/>
        </w:r>
      </w:p>
    </w:sdtContent>
  </w:sdt>
  <w:p w14:paraId="27B8AB02" w14:textId="77777777" w:rsidR="00541854" w:rsidRDefault="00541854" w:rsidP="00541854">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46228"/>
      <w:docPartObj>
        <w:docPartGallery w:val="Page Numbers (Bottom of Page)"/>
        <w:docPartUnique/>
      </w:docPartObj>
    </w:sdtPr>
    <w:sdtContent>
      <w:p w14:paraId="3268A776" w14:textId="77777777" w:rsidR="006C5756" w:rsidRDefault="006C5756" w:rsidP="001D52F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3ED2398" w14:textId="77777777" w:rsidR="006C5756" w:rsidRPr="00EA6306" w:rsidRDefault="006C5756"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815B6" w14:textId="77777777" w:rsidR="008301E4" w:rsidRPr="00EA6306" w:rsidRDefault="008301E4"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89066551"/>
      <w:docPartObj>
        <w:docPartGallery w:val="Page Numbers (Bottom of Page)"/>
        <w:docPartUnique/>
      </w:docPartObj>
    </w:sdtPr>
    <w:sdtContent>
      <w:p w14:paraId="710EAA16" w14:textId="179312E8" w:rsidR="008301E4" w:rsidRDefault="008301E4" w:rsidP="001D52F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1D7C0E0" w14:textId="77777777" w:rsidR="008301E4" w:rsidRPr="00EA6306" w:rsidRDefault="008301E4"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3413F" w14:textId="77777777" w:rsidR="008301E4" w:rsidRPr="00EA6306" w:rsidRDefault="008301E4"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D5879" w14:textId="00801919" w:rsidR="00541854" w:rsidRPr="00EA6306" w:rsidRDefault="00541854" w:rsidP="00541854">
    <w:pPr>
      <w:pStyle w:val="Footer"/>
      <w:ind w:right="360"/>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99250375"/>
      <w:docPartObj>
        <w:docPartGallery w:val="Page Numbers (Bottom of Page)"/>
        <w:docPartUnique/>
      </w:docPartObj>
    </w:sdtPr>
    <w:sdtContent>
      <w:p w14:paraId="165E302D" w14:textId="7E66DBD5" w:rsidR="00EA6306" w:rsidRDefault="00EA6306" w:rsidP="00AF31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VIII</w:t>
        </w:r>
        <w:r>
          <w:rPr>
            <w:rStyle w:val="PageNumber"/>
          </w:rPr>
          <w:fldChar w:fldCharType="end"/>
        </w:r>
      </w:p>
    </w:sdtContent>
  </w:sdt>
  <w:p w14:paraId="366AFBF9" w14:textId="77777777" w:rsidR="00EA6306" w:rsidRPr="00EA6306" w:rsidRDefault="00EA6306" w:rsidP="00541854">
    <w:pPr>
      <w:pStyle w:val="Footer"/>
      <w:ind w:right="360"/>
      <w:rPr>
        <w:lang w:val="en-US"/>
      </w:rPr>
    </w:pPr>
    <w:r>
      <w:rPr>
        <w:lang w:val="en-US"/>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12047892"/>
      <w:docPartObj>
        <w:docPartGallery w:val="Page Numbers (Bottom of Page)"/>
        <w:docPartUnique/>
      </w:docPartObj>
    </w:sdtPr>
    <w:sdtContent>
      <w:p w14:paraId="550E07D5" w14:textId="1388E408" w:rsidR="00AF31C2" w:rsidRDefault="00AF31C2" w:rsidP="001D52F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2D90381E" w14:textId="77777777" w:rsidR="00EA6306" w:rsidRPr="00EA6306" w:rsidRDefault="00EA6306" w:rsidP="00541854">
    <w:pPr>
      <w:pStyle w:val="Footer"/>
      <w:ind w:right="360"/>
      <w:rPr>
        <w:lang w:val="en-US"/>
      </w:rPr>
    </w:pPr>
    <w:r>
      <w:rPr>
        <w:lang w:val="en-US"/>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3AEED" w14:textId="77777777" w:rsidR="00AF31C2" w:rsidRPr="00EA6306" w:rsidRDefault="00AF31C2" w:rsidP="00541854">
    <w:pPr>
      <w:pStyle w:val="Footer"/>
      <w:ind w:right="360"/>
      <w:rPr>
        <w:lang w:val="en-US"/>
      </w:rPr>
    </w:pPr>
    <w:r>
      <w:rPr>
        <w:lang w:val="en-US"/>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9924995"/>
      <w:docPartObj>
        <w:docPartGallery w:val="Page Numbers (Bottom of Page)"/>
        <w:docPartUnique/>
      </w:docPartObj>
    </w:sdtPr>
    <w:sdtContent>
      <w:p w14:paraId="32C31166" w14:textId="60A91DE1" w:rsidR="000C0380" w:rsidRDefault="000C0380" w:rsidP="000C038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67B9ABC7" w14:textId="77777777" w:rsidR="000C0380" w:rsidRPr="00EA6306" w:rsidRDefault="000C0380" w:rsidP="00541854">
    <w:pPr>
      <w:pStyle w:val="Footer"/>
      <w:ind w:right="360"/>
      <w:rPr>
        <w:lang w:val="en-US"/>
      </w:rPr>
    </w:pPr>
    <w:r>
      <w:rPr>
        <w:lang w:val="en-US"/>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5DAF1" w14:textId="64EA8CB2" w:rsidR="000C0380" w:rsidRPr="00EA6306" w:rsidRDefault="000C0380" w:rsidP="008301E4">
    <w:pPr>
      <w:pStyle w:val="Footer"/>
      <w:tabs>
        <w:tab w:val="clear" w:pos="4513"/>
        <w:tab w:val="clear" w:pos="9026"/>
        <w:tab w:val="left" w:pos="3039"/>
      </w:tabs>
      <w:ind w:right="360"/>
      <w:rPr>
        <w:lang w:val="en-US"/>
      </w:rPr>
    </w:pPr>
    <w:r>
      <w:rPr>
        <w:lang w:val="en-US"/>
      </w:rPr>
      <w:t xml:space="preserve"> </w:t>
    </w:r>
    <w:r w:rsidR="008301E4">
      <w:rPr>
        <w:lang w:val="en-US"/>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1685475"/>
      <w:docPartObj>
        <w:docPartGallery w:val="Page Numbers (Bottom of Page)"/>
        <w:docPartUnique/>
      </w:docPartObj>
    </w:sdtPr>
    <w:sdtContent>
      <w:p w14:paraId="3463DF15" w14:textId="2304D33C" w:rsidR="008301E4" w:rsidRDefault="008301E4" w:rsidP="001D52F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5FC40B" w14:textId="77777777" w:rsidR="008301E4" w:rsidRPr="00EA6306" w:rsidRDefault="008301E4"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9F1CF" w14:textId="77777777" w:rsidR="001177AF" w:rsidRPr="00EA6306" w:rsidRDefault="001177AF" w:rsidP="008301E4">
    <w:pPr>
      <w:pStyle w:val="Footer"/>
      <w:tabs>
        <w:tab w:val="clear" w:pos="4513"/>
        <w:tab w:val="clear" w:pos="9026"/>
        <w:tab w:val="left" w:pos="3039"/>
      </w:tabs>
      <w:ind w:right="360"/>
      <w:rPr>
        <w:lang w:val="en-US"/>
      </w:rPr>
    </w:pPr>
    <w:r>
      <w:rPr>
        <w:lang w:val="en-US"/>
      </w:rPr>
      <w:t xml:space="preserve"> </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D0AE2C" w14:textId="77777777" w:rsidR="00CE42F7" w:rsidRDefault="00CE42F7" w:rsidP="00460723">
      <w:r>
        <w:separator/>
      </w:r>
    </w:p>
  </w:footnote>
  <w:footnote w:type="continuationSeparator" w:id="0">
    <w:p w14:paraId="60EFE240" w14:textId="77777777" w:rsidR="00CE42F7" w:rsidRDefault="00CE42F7" w:rsidP="004607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EDE7E" w14:textId="77777777" w:rsidR="008301E4" w:rsidRDefault="008301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CC3E23"/>
    <w:multiLevelType w:val="multilevel"/>
    <w:tmpl w:val="F416A6A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17669215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47E2"/>
    <w:rsid w:val="00001BB5"/>
    <w:rsid w:val="00002459"/>
    <w:rsid w:val="000031FF"/>
    <w:rsid w:val="000063C4"/>
    <w:rsid w:val="000077CE"/>
    <w:rsid w:val="0000795E"/>
    <w:rsid w:val="00010814"/>
    <w:rsid w:val="000115E8"/>
    <w:rsid w:val="00012E19"/>
    <w:rsid w:val="000155EF"/>
    <w:rsid w:val="00015EF4"/>
    <w:rsid w:val="00016F72"/>
    <w:rsid w:val="00017F15"/>
    <w:rsid w:val="000217AD"/>
    <w:rsid w:val="0002238D"/>
    <w:rsid w:val="000244E3"/>
    <w:rsid w:val="00025142"/>
    <w:rsid w:val="00025570"/>
    <w:rsid w:val="000308A2"/>
    <w:rsid w:val="00031297"/>
    <w:rsid w:val="0003354B"/>
    <w:rsid w:val="0003528E"/>
    <w:rsid w:val="000379BE"/>
    <w:rsid w:val="0004048B"/>
    <w:rsid w:val="00040C53"/>
    <w:rsid w:val="0004116D"/>
    <w:rsid w:val="000414C5"/>
    <w:rsid w:val="00041B47"/>
    <w:rsid w:val="00042491"/>
    <w:rsid w:val="00043DDE"/>
    <w:rsid w:val="00044A7E"/>
    <w:rsid w:val="00045DF4"/>
    <w:rsid w:val="00052A7D"/>
    <w:rsid w:val="000530F4"/>
    <w:rsid w:val="000537D9"/>
    <w:rsid w:val="0005653C"/>
    <w:rsid w:val="00060B0F"/>
    <w:rsid w:val="0006362E"/>
    <w:rsid w:val="000650BA"/>
    <w:rsid w:val="0006692B"/>
    <w:rsid w:val="00073063"/>
    <w:rsid w:val="00075646"/>
    <w:rsid w:val="000768D9"/>
    <w:rsid w:val="000802EA"/>
    <w:rsid w:val="00080A83"/>
    <w:rsid w:val="00082E2A"/>
    <w:rsid w:val="0008331E"/>
    <w:rsid w:val="00083EDC"/>
    <w:rsid w:val="0008422D"/>
    <w:rsid w:val="00086EF9"/>
    <w:rsid w:val="00087A4C"/>
    <w:rsid w:val="00087C2C"/>
    <w:rsid w:val="00090A40"/>
    <w:rsid w:val="00091E7D"/>
    <w:rsid w:val="00092612"/>
    <w:rsid w:val="00094CDA"/>
    <w:rsid w:val="00095157"/>
    <w:rsid w:val="000A12C9"/>
    <w:rsid w:val="000A2F45"/>
    <w:rsid w:val="000A51DF"/>
    <w:rsid w:val="000A7BB0"/>
    <w:rsid w:val="000B2A1C"/>
    <w:rsid w:val="000B4628"/>
    <w:rsid w:val="000B4781"/>
    <w:rsid w:val="000B7525"/>
    <w:rsid w:val="000B7BA0"/>
    <w:rsid w:val="000C0380"/>
    <w:rsid w:val="000C1922"/>
    <w:rsid w:val="000C3E25"/>
    <w:rsid w:val="000C5137"/>
    <w:rsid w:val="000D3064"/>
    <w:rsid w:val="000D325F"/>
    <w:rsid w:val="000D5235"/>
    <w:rsid w:val="000E0D0A"/>
    <w:rsid w:val="000E15A9"/>
    <w:rsid w:val="000E18DA"/>
    <w:rsid w:val="000E2155"/>
    <w:rsid w:val="000E5093"/>
    <w:rsid w:val="000E6B84"/>
    <w:rsid w:val="000F032D"/>
    <w:rsid w:val="000F06BA"/>
    <w:rsid w:val="000F4B8D"/>
    <w:rsid w:val="000F5ED0"/>
    <w:rsid w:val="000F5F1C"/>
    <w:rsid w:val="000F68E6"/>
    <w:rsid w:val="000F7445"/>
    <w:rsid w:val="000F780D"/>
    <w:rsid w:val="00103217"/>
    <w:rsid w:val="0010446E"/>
    <w:rsid w:val="001060CB"/>
    <w:rsid w:val="00110A4B"/>
    <w:rsid w:val="001133B5"/>
    <w:rsid w:val="00115CC2"/>
    <w:rsid w:val="001177AF"/>
    <w:rsid w:val="00120766"/>
    <w:rsid w:val="00124262"/>
    <w:rsid w:val="001276E0"/>
    <w:rsid w:val="001312CB"/>
    <w:rsid w:val="0013245A"/>
    <w:rsid w:val="00133528"/>
    <w:rsid w:val="001335D3"/>
    <w:rsid w:val="001351D8"/>
    <w:rsid w:val="00136A7D"/>
    <w:rsid w:val="001432F4"/>
    <w:rsid w:val="00143B4E"/>
    <w:rsid w:val="00144466"/>
    <w:rsid w:val="00147F27"/>
    <w:rsid w:val="00150D73"/>
    <w:rsid w:val="00151281"/>
    <w:rsid w:val="001520F3"/>
    <w:rsid w:val="00157425"/>
    <w:rsid w:val="00160D71"/>
    <w:rsid w:val="001619F2"/>
    <w:rsid w:val="00162421"/>
    <w:rsid w:val="00172B40"/>
    <w:rsid w:val="00173A65"/>
    <w:rsid w:val="0017523B"/>
    <w:rsid w:val="00186ABC"/>
    <w:rsid w:val="0018705E"/>
    <w:rsid w:val="00187C67"/>
    <w:rsid w:val="00187EC2"/>
    <w:rsid w:val="00192C2A"/>
    <w:rsid w:val="0019384F"/>
    <w:rsid w:val="001939F9"/>
    <w:rsid w:val="001967BB"/>
    <w:rsid w:val="00196B0B"/>
    <w:rsid w:val="001A06F7"/>
    <w:rsid w:val="001A1274"/>
    <w:rsid w:val="001A25F9"/>
    <w:rsid w:val="001A2769"/>
    <w:rsid w:val="001A2D35"/>
    <w:rsid w:val="001A367B"/>
    <w:rsid w:val="001A43BE"/>
    <w:rsid w:val="001A60AB"/>
    <w:rsid w:val="001A60DD"/>
    <w:rsid w:val="001A6199"/>
    <w:rsid w:val="001A6897"/>
    <w:rsid w:val="001A7591"/>
    <w:rsid w:val="001B1240"/>
    <w:rsid w:val="001B31C1"/>
    <w:rsid w:val="001B453C"/>
    <w:rsid w:val="001B5022"/>
    <w:rsid w:val="001B53C2"/>
    <w:rsid w:val="001B73D5"/>
    <w:rsid w:val="001C0C8B"/>
    <w:rsid w:val="001C0F93"/>
    <w:rsid w:val="001C2146"/>
    <w:rsid w:val="001C2B7B"/>
    <w:rsid w:val="001C3301"/>
    <w:rsid w:val="001C4289"/>
    <w:rsid w:val="001C42F5"/>
    <w:rsid w:val="001C52BE"/>
    <w:rsid w:val="001C73F0"/>
    <w:rsid w:val="001D4FC8"/>
    <w:rsid w:val="001D541F"/>
    <w:rsid w:val="001E07FD"/>
    <w:rsid w:val="001E0EAD"/>
    <w:rsid w:val="001E177F"/>
    <w:rsid w:val="001E17BC"/>
    <w:rsid w:val="001E5A2E"/>
    <w:rsid w:val="001E685D"/>
    <w:rsid w:val="001F1960"/>
    <w:rsid w:val="001F2CC2"/>
    <w:rsid w:val="001F4306"/>
    <w:rsid w:val="001F47FC"/>
    <w:rsid w:val="001F5873"/>
    <w:rsid w:val="001F76BA"/>
    <w:rsid w:val="002052DC"/>
    <w:rsid w:val="0021713B"/>
    <w:rsid w:val="00221586"/>
    <w:rsid w:val="00224F0F"/>
    <w:rsid w:val="00226B67"/>
    <w:rsid w:val="00231082"/>
    <w:rsid w:val="00231DBB"/>
    <w:rsid w:val="002328D5"/>
    <w:rsid w:val="00233BBB"/>
    <w:rsid w:val="00233EB7"/>
    <w:rsid w:val="00234BCA"/>
    <w:rsid w:val="0023749F"/>
    <w:rsid w:val="00240566"/>
    <w:rsid w:val="002408C4"/>
    <w:rsid w:val="00241C79"/>
    <w:rsid w:val="00243E01"/>
    <w:rsid w:val="00247B41"/>
    <w:rsid w:val="00252DB6"/>
    <w:rsid w:val="00253686"/>
    <w:rsid w:val="00254387"/>
    <w:rsid w:val="0025640C"/>
    <w:rsid w:val="002615AC"/>
    <w:rsid w:val="0026162B"/>
    <w:rsid w:val="002636F3"/>
    <w:rsid w:val="0026675B"/>
    <w:rsid w:val="00270460"/>
    <w:rsid w:val="0027084C"/>
    <w:rsid w:val="002736F5"/>
    <w:rsid w:val="002756EE"/>
    <w:rsid w:val="00277269"/>
    <w:rsid w:val="0028042D"/>
    <w:rsid w:val="002809B7"/>
    <w:rsid w:val="002834A9"/>
    <w:rsid w:val="002841B3"/>
    <w:rsid w:val="00285B63"/>
    <w:rsid w:val="00290CE9"/>
    <w:rsid w:val="002920C7"/>
    <w:rsid w:val="00294356"/>
    <w:rsid w:val="002A0552"/>
    <w:rsid w:val="002A22B2"/>
    <w:rsid w:val="002A2A0B"/>
    <w:rsid w:val="002A2FC7"/>
    <w:rsid w:val="002A3ECA"/>
    <w:rsid w:val="002A50C8"/>
    <w:rsid w:val="002A662E"/>
    <w:rsid w:val="002B0155"/>
    <w:rsid w:val="002B178C"/>
    <w:rsid w:val="002B18A5"/>
    <w:rsid w:val="002B1CE4"/>
    <w:rsid w:val="002B2601"/>
    <w:rsid w:val="002B484B"/>
    <w:rsid w:val="002B6610"/>
    <w:rsid w:val="002B7001"/>
    <w:rsid w:val="002B72B8"/>
    <w:rsid w:val="002B78C3"/>
    <w:rsid w:val="002C1FE8"/>
    <w:rsid w:val="002C2750"/>
    <w:rsid w:val="002C305E"/>
    <w:rsid w:val="002C30FF"/>
    <w:rsid w:val="002C58F5"/>
    <w:rsid w:val="002C7DA3"/>
    <w:rsid w:val="002D005C"/>
    <w:rsid w:val="002D20FE"/>
    <w:rsid w:val="002D2B4C"/>
    <w:rsid w:val="002D3AEF"/>
    <w:rsid w:val="002D4B6D"/>
    <w:rsid w:val="002D6C7F"/>
    <w:rsid w:val="002E2FCC"/>
    <w:rsid w:val="002E37BF"/>
    <w:rsid w:val="002E3B66"/>
    <w:rsid w:val="002E5266"/>
    <w:rsid w:val="002F37F7"/>
    <w:rsid w:val="002F3CE7"/>
    <w:rsid w:val="002F552D"/>
    <w:rsid w:val="002F7CFF"/>
    <w:rsid w:val="00302474"/>
    <w:rsid w:val="003034D3"/>
    <w:rsid w:val="00306B01"/>
    <w:rsid w:val="00310D05"/>
    <w:rsid w:val="00310F4F"/>
    <w:rsid w:val="00313261"/>
    <w:rsid w:val="00316677"/>
    <w:rsid w:val="00320931"/>
    <w:rsid w:val="003216A4"/>
    <w:rsid w:val="0032303B"/>
    <w:rsid w:val="00323054"/>
    <w:rsid w:val="00326B04"/>
    <w:rsid w:val="00333097"/>
    <w:rsid w:val="00333AFA"/>
    <w:rsid w:val="003345BB"/>
    <w:rsid w:val="0034092C"/>
    <w:rsid w:val="00341AA7"/>
    <w:rsid w:val="0035003C"/>
    <w:rsid w:val="00350E28"/>
    <w:rsid w:val="00354DF5"/>
    <w:rsid w:val="0035519C"/>
    <w:rsid w:val="00361DE2"/>
    <w:rsid w:val="00362222"/>
    <w:rsid w:val="00365A5C"/>
    <w:rsid w:val="00370109"/>
    <w:rsid w:val="003703BD"/>
    <w:rsid w:val="0037138D"/>
    <w:rsid w:val="00374296"/>
    <w:rsid w:val="003743E9"/>
    <w:rsid w:val="00375A5B"/>
    <w:rsid w:val="003776C2"/>
    <w:rsid w:val="00380622"/>
    <w:rsid w:val="00380B8D"/>
    <w:rsid w:val="003819DD"/>
    <w:rsid w:val="00381E56"/>
    <w:rsid w:val="003823CA"/>
    <w:rsid w:val="0038263C"/>
    <w:rsid w:val="00384FCE"/>
    <w:rsid w:val="003858B7"/>
    <w:rsid w:val="00393658"/>
    <w:rsid w:val="00396463"/>
    <w:rsid w:val="003969A4"/>
    <w:rsid w:val="003A057C"/>
    <w:rsid w:val="003A43A2"/>
    <w:rsid w:val="003A638A"/>
    <w:rsid w:val="003A68A9"/>
    <w:rsid w:val="003A7518"/>
    <w:rsid w:val="003A79D5"/>
    <w:rsid w:val="003B0D65"/>
    <w:rsid w:val="003B46E7"/>
    <w:rsid w:val="003B78E6"/>
    <w:rsid w:val="003C41D3"/>
    <w:rsid w:val="003C4879"/>
    <w:rsid w:val="003C4C7F"/>
    <w:rsid w:val="003C73A3"/>
    <w:rsid w:val="003D005D"/>
    <w:rsid w:val="003D0BFF"/>
    <w:rsid w:val="003D1BA4"/>
    <w:rsid w:val="003D1E30"/>
    <w:rsid w:val="003D5AF5"/>
    <w:rsid w:val="003E12DD"/>
    <w:rsid w:val="003E1861"/>
    <w:rsid w:val="003E27B4"/>
    <w:rsid w:val="003E2913"/>
    <w:rsid w:val="003E2EE2"/>
    <w:rsid w:val="003E33E7"/>
    <w:rsid w:val="003E4026"/>
    <w:rsid w:val="003E4C5E"/>
    <w:rsid w:val="003E7999"/>
    <w:rsid w:val="003F031F"/>
    <w:rsid w:val="003F12FE"/>
    <w:rsid w:val="003F2184"/>
    <w:rsid w:val="003F361D"/>
    <w:rsid w:val="003F3787"/>
    <w:rsid w:val="003F5FCB"/>
    <w:rsid w:val="00400D7E"/>
    <w:rsid w:val="0040107F"/>
    <w:rsid w:val="0040496D"/>
    <w:rsid w:val="00406441"/>
    <w:rsid w:val="00406A87"/>
    <w:rsid w:val="004111A7"/>
    <w:rsid w:val="004122F6"/>
    <w:rsid w:val="00413746"/>
    <w:rsid w:val="004142EB"/>
    <w:rsid w:val="00415F71"/>
    <w:rsid w:val="00416E8A"/>
    <w:rsid w:val="004203E8"/>
    <w:rsid w:val="0042092E"/>
    <w:rsid w:val="004228BA"/>
    <w:rsid w:val="004258AC"/>
    <w:rsid w:val="00426368"/>
    <w:rsid w:val="00427D3D"/>
    <w:rsid w:val="00430CA6"/>
    <w:rsid w:val="004312CC"/>
    <w:rsid w:val="00432560"/>
    <w:rsid w:val="00437C1A"/>
    <w:rsid w:val="00445174"/>
    <w:rsid w:val="004451F0"/>
    <w:rsid w:val="0044562B"/>
    <w:rsid w:val="00447BD8"/>
    <w:rsid w:val="00450B33"/>
    <w:rsid w:val="00456622"/>
    <w:rsid w:val="00456C96"/>
    <w:rsid w:val="00460723"/>
    <w:rsid w:val="00460763"/>
    <w:rsid w:val="00464181"/>
    <w:rsid w:val="00464336"/>
    <w:rsid w:val="00466DD5"/>
    <w:rsid w:val="00467935"/>
    <w:rsid w:val="004720FC"/>
    <w:rsid w:val="00473610"/>
    <w:rsid w:val="00476B61"/>
    <w:rsid w:val="00476D06"/>
    <w:rsid w:val="004778C5"/>
    <w:rsid w:val="004801EC"/>
    <w:rsid w:val="00480CD0"/>
    <w:rsid w:val="00482734"/>
    <w:rsid w:val="0048465E"/>
    <w:rsid w:val="004861D2"/>
    <w:rsid w:val="00486A4F"/>
    <w:rsid w:val="00486EB3"/>
    <w:rsid w:val="00492120"/>
    <w:rsid w:val="00494129"/>
    <w:rsid w:val="00495578"/>
    <w:rsid w:val="00495AA1"/>
    <w:rsid w:val="00495CB6"/>
    <w:rsid w:val="004970D3"/>
    <w:rsid w:val="004A1608"/>
    <w:rsid w:val="004A2710"/>
    <w:rsid w:val="004A29C7"/>
    <w:rsid w:val="004A3E73"/>
    <w:rsid w:val="004A41AF"/>
    <w:rsid w:val="004A4D1A"/>
    <w:rsid w:val="004B082D"/>
    <w:rsid w:val="004B4038"/>
    <w:rsid w:val="004B40DD"/>
    <w:rsid w:val="004C1477"/>
    <w:rsid w:val="004C3AF0"/>
    <w:rsid w:val="004C4B18"/>
    <w:rsid w:val="004C5892"/>
    <w:rsid w:val="004D7775"/>
    <w:rsid w:val="004E0229"/>
    <w:rsid w:val="004E0CB0"/>
    <w:rsid w:val="004E1C2F"/>
    <w:rsid w:val="004E1EB0"/>
    <w:rsid w:val="004E2759"/>
    <w:rsid w:val="004E6F1E"/>
    <w:rsid w:val="004E7595"/>
    <w:rsid w:val="004E7701"/>
    <w:rsid w:val="004F3529"/>
    <w:rsid w:val="004F6E46"/>
    <w:rsid w:val="00500DDE"/>
    <w:rsid w:val="0050144A"/>
    <w:rsid w:val="00501A3A"/>
    <w:rsid w:val="00505700"/>
    <w:rsid w:val="005058FF"/>
    <w:rsid w:val="00506E5B"/>
    <w:rsid w:val="00506ED4"/>
    <w:rsid w:val="00513405"/>
    <w:rsid w:val="005171EF"/>
    <w:rsid w:val="0051797F"/>
    <w:rsid w:val="005179DF"/>
    <w:rsid w:val="00517A4F"/>
    <w:rsid w:val="00522736"/>
    <w:rsid w:val="00522AA2"/>
    <w:rsid w:val="00525D1A"/>
    <w:rsid w:val="00527825"/>
    <w:rsid w:val="00527DE0"/>
    <w:rsid w:val="005311A6"/>
    <w:rsid w:val="00534EA4"/>
    <w:rsid w:val="00535B72"/>
    <w:rsid w:val="00536B48"/>
    <w:rsid w:val="00537D36"/>
    <w:rsid w:val="00541854"/>
    <w:rsid w:val="00541D93"/>
    <w:rsid w:val="00541FF2"/>
    <w:rsid w:val="00542C22"/>
    <w:rsid w:val="00542D0B"/>
    <w:rsid w:val="005432D0"/>
    <w:rsid w:val="00543A9B"/>
    <w:rsid w:val="005516A4"/>
    <w:rsid w:val="005532DF"/>
    <w:rsid w:val="00554561"/>
    <w:rsid w:val="00556945"/>
    <w:rsid w:val="005570E0"/>
    <w:rsid w:val="00557D5B"/>
    <w:rsid w:val="00562659"/>
    <w:rsid w:val="005626D8"/>
    <w:rsid w:val="0056335A"/>
    <w:rsid w:val="0057082B"/>
    <w:rsid w:val="00571C08"/>
    <w:rsid w:val="00572C15"/>
    <w:rsid w:val="00574003"/>
    <w:rsid w:val="005753AA"/>
    <w:rsid w:val="00575C6E"/>
    <w:rsid w:val="00577188"/>
    <w:rsid w:val="00577E11"/>
    <w:rsid w:val="005830DF"/>
    <w:rsid w:val="00584A77"/>
    <w:rsid w:val="005860F3"/>
    <w:rsid w:val="00586479"/>
    <w:rsid w:val="00587631"/>
    <w:rsid w:val="005A0E08"/>
    <w:rsid w:val="005A5140"/>
    <w:rsid w:val="005A5C7B"/>
    <w:rsid w:val="005A6987"/>
    <w:rsid w:val="005B05B2"/>
    <w:rsid w:val="005B0662"/>
    <w:rsid w:val="005B1038"/>
    <w:rsid w:val="005B64AC"/>
    <w:rsid w:val="005B743F"/>
    <w:rsid w:val="005C0984"/>
    <w:rsid w:val="005C127D"/>
    <w:rsid w:val="005C1A8C"/>
    <w:rsid w:val="005C24B3"/>
    <w:rsid w:val="005C37FA"/>
    <w:rsid w:val="005C43C0"/>
    <w:rsid w:val="005C4E76"/>
    <w:rsid w:val="005C5F51"/>
    <w:rsid w:val="005C6B30"/>
    <w:rsid w:val="005C7115"/>
    <w:rsid w:val="005C7941"/>
    <w:rsid w:val="005D54DC"/>
    <w:rsid w:val="005D780A"/>
    <w:rsid w:val="005E44C7"/>
    <w:rsid w:val="005E4E94"/>
    <w:rsid w:val="005E5202"/>
    <w:rsid w:val="005E6AB4"/>
    <w:rsid w:val="005F2E11"/>
    <w:rsid w:val="005F35F7"/>
    <w:rsid w:val="005F4268"/>
    <w:rsid w:val="005F4967"/>
    <w:rsid w:val="005F6A0D"/>
    <w:rsid w:val="006031C1"/>
    <w:rsid w:val="00604FC4"/>
    <w:rsid w:val="00605BCE"/>
    <w:rsid w:val="00606200"/>
    <w:rsid w:val="00606D4F"/>
    <w:rsid w:val="00610173"/>
    <w:rsid w:val="0061189E"/>
    <w:rsid w:val="00611F2C"/>
    <w:rsid w:val="00612248"/>
    <w:rsid w:val="00612B20"/>
    <w:rsid w:val="0061346C"/>
    <w:rsid w:val="00613A0C"/>
    <w:rsid w:val="006155CA"/>
    <w:rsid w:val="006178BC"/>
    <w:rsid w:val="0062232E"/>
    <w:rsid w:val="00622EF0"/>
    <w:rsid w:val="00624E40"/>
    <w:rsid w:val="0062533E"/>
    <w:rsid w:val="00625A68"/>
    <w:rsid w:val="00627508"/>
    <w:rsid w:val="00630BCB"/>
    <w:rsid w:val="006310F4"/>
    <w:rsid w:val="00633366"/>
    <w:rsid w:val="00633865"/>
    <w:rsid w:val="006364A2"/>
    <w:rsid w:val="00637068"/>
    <w:rsid w:val="0063796B"/>
    <w:rsid w:val="00637BEF"/>
    <w:rsid w:val="00637D61"/>
    <w:rsid w:val="00647864"/>
    <w:rsid w:val="00647CD0"/>
    <w:rsid w:val="00647D10"/>
    <w:rsid w:val="00653541"/>
    <w:rsid w:val="00656816"/>
    <w:rsid w:val="00657420"/>
    <w:rsid w:val="00660F49"/>
    <w:rsid w:val="00662E65"/>
    <w:rsid w:val="00662F85"/>
    <w:rsid w:val="00663166"/>
    <w:rsid w:val="00670EE1"/>
    <w:rsid w:val="00671106"/>
    <w:rsid w:val="00671F36"/>
    <w:rsid w:val="006720C8"/>
    <w:rsid w:val="00674F49"/>
    <w:rsid w:val="006756F1"/>
    <w:rsid w:val="00676278"/>
    <w:rsid w:val="006765CB"/>
    <w:rsid w:val="00680762"/>
    <w:rsid w:val="00682FA4"/>
    <w:rsid w:val="00683A87"/>
    <w:rsid w:val="00684BB5"/>
    <w:rsid w:val="00686320"/>
    <w:rsid w:val="006904F6"/>
    <w:rsid w:val="00691F1D"/>
    <w:rsid w:val="00694EFE"/>
    <w:rsid w:val="0069792C"/>
    <w:rsid w:val="006A3801"/>
    <w:rsid w:val="006A6861"/>
    <w:rsid w:val="006A6868"/>
    <w:rsid w:val="006B04BD"/>
    <w:rsid w:val="006B1E0E"/>
    <w:rsid w:val="006B27DA"/>
    <w:rsid w:val="006B31E6"/>
    <w:rsid w:val="006B35A5"/>
    <w:rsid w:val="006B35AE"/>
    <w:rsid w:val="006B5622"/>
    <w:rsid w:val="006B573F"/>
    <w:rsid w:val="006B7860"/>
    <w:rsid w:val="006C1DA6"/>
    <w:rsid w:val="006C1E11"/>
    <w:rsid w:val="006C218D"/>
    <w:rsid w:val="006C246C"/>
    <w:rsid w:val="006C562A"/>
    <w:rsid w:val="006C5756"/>
    <w:rsid w:val="006C5BD9"/>
    <w:rsid w:val="006D0826"/>
    <w:rsid w:val="006D1586"/>
    <w:rsid w:val="006D1F57"/>
    <w:rsid w:val="006D2131"/>
    <w:rsid w:val="006D242A"/>
    <w:rsid w:val="006D270B"/>
    <w:rsid w:val="006D49C0"/>
    <w:rsid w:val="006D6DDC"/>
    <w:rsid w:val="006E0BF0"/>
    <w:rsid w:val="006E1087"/>
    <w:rsid w:val="006E211D"/>
    <w:rsid w:val="006E239E"/>
    <w:rsid w:val="006E363B"/>
    <w:rsid w:val="006E3BE9"/>
    <w:rsid w:val="006E471D"/>
    <w:rsid w:val="006E4F66"/>
    <w:rsid w:val="006E56AF"/>
    <w:rsid w:val="006E5B7B"/>
    <w:rsid w:val="006E6D2C"/>
    <w:rsid w:val="006F0325"/>
    <w:rsid w:val="006F0EE8"/>
    <w:rsid w:val="006F1FDC"/>
    <w:rsid w:val="006F2EC1"/>
    <w:rsid w:val="006F65ED"/>
    <w:rsid w:val="0070080A"/>
    <w:rsid w:val="00702645"/>
    <w:rsid w:val="00703102"/>
    <w:rsid w:val="00704BAC"/>
    <w:rsid w:val="00705754"/>
    <w:rsid w:val="00706285"/>
    <w:rsid w:val="007065B3"/>
    <w:rsid w:val="00717C53"/>
    <w:rsid w:val="007230BC"/>
    <w:rsid w:val="00726963"/>
    <w:rsid w:val="00726C10"/>
    <w:rsid w:val="007306D2"/>
    <w:rsid w:val="00734028"/>
    <w:rsid w:val="00734A54"/>
    <w:rsid w:val="00736CFD"/>
    <w:rsid w:val="007372C3"/>
    <w:rsid w:val="00740C1B"/>
    <w:rsid w:val="00740F8D"/>
    <w:rsid w:val="0074344A"/>
    <w:rsid w:val="00743B38"/>
    <w:rsid w:val="00753EBD"/>
    <w:rsid w:val="00754CD2"/>
    <w:rsid w:val="007571B9"/>
    <w:rsid w:val="00757CF3"/>
    <w:rsid w:val="00757EC7"/>
    <w:rsid w:val="00761E84"/>
    <w:rsid w:val="00762E7C"/>
    <w:rsid w:val="007633FA"/>
    <w:rsid w:val="00763421"/>
    <w:rsid w:val="00765D66"/>
    <w:rsid w:val="00765F99"/>
    <w:rsid w:val="007704A1"/>
    <w:rsid w:val="007724D0"/>
    <w:rsid w:val="007726A5"/>
    <w:rsid w:val="007736BC"/>
    <w:rsid w:val="00774226"/>
    <w:rsid w:val="00774550"/>
    <w:rsid w:val="00775879"/>
    <w:rsid w:val="00776076"/>
    <w:rsid w:val="00780F5D"/>
    <w:rsid w:val="007816F9"/>
    <w:rsid w:val="00782DAE"/>
    <w:rsid w:val="00793320"/>
    <w:rsid w:val="00794ECF"/>
    <w:rsid w:val="00795577"/>
    <w:rsid w:val="007977D8"/>
    <w:rsid w:val="007A2692"/>
    <w:rsid w:val="007A4F11"/>
    <w:rsid w:val="007B0105"/>
    <w:rsid w:val="007B2DAC"/>
    <w:rsid w:val="007B4BDC"/>
    <w:rsid w:val="007B504B"/>
    <w:rsid w:val="007B653C"/>
    <w:rsid w:val="007B6E96"/>
    <w:rsid w:val="007C21A7"/>
    <w:rsid w:val="007C48E8"/>
    <w:rsid w:val="007C4B92"/>
    <w:rsid w:val="007C5514"/>
    <w:rsid w:val="007C7EEE"/>
    <w:rsid w:val="007D032B"/>
    <w:rsid w:val="007D129D"/>
    <w:rsid w:val="007D289B"/>
    <w:rsid w:val="007D3194"/>
    <w:rsid w:val="007D5A10"/>
    <w:rsid w:val="007D5D81"/>
    <w:rsid w:val="007D5E32"/>
    <w:rsid w:val="007D67FC"/>
    <w:rsid w:val="007E015E"/>
    <w:rsid w:val="007E25C7"/>
    <w:rsid w:val="007E5EF5"/>
    <w:rsid w:val="007E6C08"/>
    <w:rsid w:val="007E7F45"/>
    <w:rsid w:val="007F0728"/>
    <w:rsid w:val="007F11A8"/>
    <w:rsid w:val="007F19BF"/>
    <w:rsid w:val="007F223C"/>
    <w:rsid w:val="007F472A"/>
    <w:rsid w:val="007F590F"/>
    <w:rsid w:val="007F6F83"/>
    <w:rsid w:val="008004AC"/>
    <w:rsid w:val="00803907"/>
    <w:rsid w:val="0080471F"/>
    <w:rsid w:val="00805264"/>
    <w:rsid w:val="008064B7"/>
    <w:rsid w:val="00811468"/>
    <w:rsid w:val="00812B76"/>
    <w:rsid w:val="00816E02"/>
    <w:rsid w:val="00816F40"/>
    <w:rsid w:val="00817E6D"/>
    <w:rsid w:val="00821236"/>
    <w:rsid w:val="008238A9"/>
    <w:rsid w:val="008301E4"/>
    <w:rsid w:val="00831CC8"/>
    <w:rsid w:val="0083653A"/>
    <w:rsid w:val="008428D4"/>
    <w:rsid w:val="00850911"/>
    <w:rsid w:val="00850A3A"/>
    <w:rsid w:val="00851606"/>
    <w:rsid w:val="00853EFD"/>
    <w:rsid w:val="00855651"/>
    <w:rsid w:val="0085786F"/>
    <w:rsid w:val="008604D1"/>
    <w:rsid w:val="00860F2F"/>
    <w:rsid w:val="008644E1"/>
    <w:rsid w:val="008653BD"/>
    <w:rsid w:val="00865647"/>
    <w:rsid w:val="00866CC2"/>
    <w:rsid w:val="00870456"/>
    <w:rsid w:val="00872701"/>
    <w:rsid w:val="00874BBF"/>
    <w:rsid w:val="00875963"/>
    <w:rsid w:val="008773A6"/>
    <w:rsid w:val="00880677"/>
    <w:rsid w:val="00880769"/>
    <w:rsid w:val="0088188D"/>
    <w:rsid w:val="00886162"/>
    <w:rsid w:val="008878DC"/>
    <w:rsid w:val="00892F38"/>
    <w:rsid w:val="008944BE"/>
    <w:rsid w:val="00894933"/>
    <w:rsid w:val="00894B06"/>
    <w:rsid w:val="00895C38"/>
    <w:rsid w:val="008A0362"/>
    <w:rsid w:val="008A21BB"/>
    <w:rsid w:val="008A2F2D"/>
    <w:rsid w:val="008A35DF"/>
    <w:rsid w:val="008A5422"/>
    <w:rsid w:val="008A6CC0"/>
    <w:rsid w:val="008A7FE8"/>
    <w:rsid w:val="008B07B2"/>
    <w:rsid w:val="008B20B9"/>
    <w:rsid w:val="008B67FE"/>
    <w:rsid w:val="008B7E43"/>
    <w:rsid w:val="008C073D"/>
    <w:rsid w:val="008C39DD"/>
    <w:rsid w:val="008C4C6F"/>
    <w:rsid w:val="008C5BF0"/>
    <w:rsid w:val="008C5DE3"/>
    <w:rsid w:val="008C79C2"/>
    <w:rsid w:val="008D2296"/>
    <w:rsid w:val="008D46C5"/>
    <w:rsid w:val="008D5A65"/>
    <w:rsid w:val="008D6916"/>
    <w:rsid w:val="008E0C55"/>
    <w:rsid w:val="008E116A"/>
    <w:rsid w:val="008E11CE"/>
    <w:rsid w:val="008E153E"/>
    <w:rsid w:val="008E1BED"/>
    <w:rsid w:val="008E1D1B"/>
    <w:rsid w:val="008E239D"/>
    <w:rsid w:val="008E3216"/>
    <w:rsid w:val="008E5B79"/>
    <w:rsid w:val="008F00A3"/>
    <w:rsid w:val="008F5C1E"/>
    <w:rsid w:val="00903D2E"/>
    <w:rsid w:val="00907183"/>
    <w:rsid w:val="00910B67"/>
    <w:rsid w:val="00910D76"/>
    <w:rsid w:val="00915AC5"/>
    <w:rsid w:val="009172BB"/>
    <w:rsid w:val="00917F66"/>
    <w:rsid w:val="009204EE"/>
    <w:rsid w:val="00920EA3"/>
    <w:rsid w:val="00921C69"/>
    <w:rsid w:val="009247E2"/>
    <w:rsid w:val="00927CFE"/>
    <w:rsid w:val="009315A2"/>
    <w:rsid w:val="00931DB7"/>
    <w:rsid w:val="009337CC"/>
    <w:rsid w:val="00934B85"/>
    <w:rsid w:val="00936E92"/>
    <w:rsid w:val="0094012E"/>
    <w:rsid w:val="009408BF"/>
    <w:rsid w:val="00941A19"/>
    <w:rsid w:val="0094234A"/>
    <w:rsid w:val="0094435C"/>
    <w:rsid w:val="00944493"/>
    <w:rsid w:val="0094456C"/>
    <w:rsid w:val="009473B8"/>
    <w:rsid w:val="00950F2E"/>
    <w:rsid w:val="00952253"/>
    <w:rsid w:val="009573B9"/>
    <w:rsid w:val="0096022F"/>
    <w:rsid w:val="00961BEB"/>
    <w:rsid w:val="009636AF"/>
    <w:rsid w:val="00964088"/>
    <w:rsid w:val="00964921"/>
    <w:rsid w:val="00964B68"/>
    <w:rsid w:val="00964CF1"/>
    <w:rsid w:val="00964F20"/>
    <w:rsid w:val="0097014B"/>
    <w:rsid w:val="0097023B"/>
    <w:rsid w:val="0098208E"/>
    <w:rsid w:val="00982577"/>
    <w:rsid w:val="00983B2E"/>
    <w:rsid w:val="00985725"/>
    <w:rsid w:val="0099021C"/>
    <w:rsid w:val="00991645"/>
    <w:rsid w:val="00991AA0"/>
    <w:rsid w:val="00991BD7"/>
    <w:rsid w:val="00992AF2"/>
    <w:rsid w:val="0099338C"/>
    <w:rsid w:val="009952C9"/>
    <w:rsid w:val="009962E9"/>
    <w:rsid w:val="00997A8E"/>
    <w:rsid w:val="009A0DA0"/>
    <w:rsid w:val="009A53BD"/>
    <w:rsid w:val="009A7ACD"/>
    <w:rsid w:val="009B00A7"/>
    <w:rsid w:val="009B2303"/>
    <w:rsid w:val="009B57D9"/>
    <w:rsid w:val="009B6379"/>
    <w:rsid w:val="009B6D19"/>
    <w:rsid w:val="009B71D1"/>
    <w:rsid w:val="009C50C5"/>
    <w:rsid w:val="009C5314"/>
    <w:rsid w:val="009D062C"/>
    <w:rsid w:val="009D3AD4"/>
    <w:rsid w:val="009D676A"/>
    <w:rsid w:val="009D7F07"/>
    <w:rsid w:val="009E06E4"/>
    <w:rsid w:val="009E2896"/>
    <w:rsid w:val="009E2FBD"/>
    <w:rsid w:val="009E3C8B"/>
    <w:rsid w:val="009E5A60"/>
    <w:rsid w:val="009E6893"/>
    <w:rsid w:val="009F0C3A"/>
    <w:rsid w:val="009F1575"/>
    <w:rsid w:val="009F23C0"/>
    <w:rsid w:val="009F38C6"/>
    <w:rsid w:val="009F3EAE"/>
    <w:rsid w:val="009F4399"/>
    <w:rsid w:val="00A00BB4"/>
    <w:rsid w:val="00A01BDF"/>
    <w:rsid w:val="00A04476"/>
    <w:rsid w:val="00A0488E"/>
    <w:rsid w:val="00A05877"/>
    <w:rsid w:val="00A11799"/>
    <w:rsid w:val="00A12E33"/>
    <w:rsid w:val="00A132D5"/>
    <w:rsid w:val="00A1527F"/>
    <w:rsid w:val="00A231F2"/>
    <w:rsid w:val="00A27D66"/>
    <w:rsid w:val="00A30F93"/>
    <w:rsid w:val="00A310B6"/>
    <w:rsid w:val="00A31FE9"/>
    <w:rsid w:val="00A321E7"/>
    <w:rsid w:val="00A34A06"/>
    <w:rsid w:val="00A37789"/>
    <w:rsid w:val="00A4103D"/>
    <w:rsid w:val="00A43366"/>
    <w:rsid w:val="00A458CB"/>
    <w:rsid w:val="00A50B88"/>
    <w:rsid w:val="00A50E34"/>
    <w:rsid w:val="00A512FD"/>
    <w:rsid w:val="00A5281D"/>
    <w:rsid w:val="00A5605D"/>
    <w:rsid w:val="00A5626C"/>
    <w:rsid w:val="00A57DB6"/>
    <w:rsid w:val="00A57E97"/>
    <w:rsid w:val="00A613D1"/>
    <w:rsid w:val="00A617CE"/>
    <w:rsid w:val="00A61A9B"/>
    <w:rsid w:val="00A62679"/>
    <w:rsid w:val="00A640A7"/>
    <w:rsid w:val="00A65136"/>
    <w:rsid w:val="00A657DB"/>
    <w:rsid w:val="00A66211"/>
    <w:rsid w:val="00A67DB9"/>
    <w:rsid w:val="00A71DEE"/>
    <w:rsid w:val="00A7468D"/>
    <w:rsid w:val="00A762E8"/>
    <w:rsid w:val="00A77178"/>
    <w:rsid w:val="00A7775E"/>
    <w:rsid w:val="00A874E8"/>
    <w:rsid w:val="00A8787D"/>
    <w:rsid w:val="00A905BA"/>
    <w:rsid w:val="00A923B1"/>
    <w:rsid w:val="00A924BD"/>
    <w:rsid w:val="00A92A88"/>
    <w:rsid w:val="00A92E7E"/>
    <w:rsid w:val="00A942AC"/>
    <w:rsid w:val="00A957C4"/>
    <w:rsid w:val="00AA0461"/>
    <w:rsid w:val="00AA0C4B"/>
    <w:rsid w:val="00AA650E"/>
    <w:rsid w:val="00AA79D3"/>
    <w:rsid w:val="00AB1AE1"/>
    <w:rsid w:val="00AB27F8"/>
    <w:rsid w:val="00AB54F2"/>
    <w:rsid w:val="00AB602D"/>
    <w:rsid w:val="00AB6D25"/>
    <w:rsid w:val="00AB77E7"/>
    <w:rsid w:val="00AC16BC"/>
    <w:rsid w:val="00AC25CD"/>
    <w:rsid w:val="00AC4D25"/>
    <w:rsid w:val="00AC4FA5"/>
    <w:rsid w:val="00AC79DF"/>
    <w:rsid w:val="00AD09E0"/>
    <w:rsid w:val="00AD1E9D"/>
    <w:rsid w:val="00AD2916"/>
    <w:rsid w:val="00AD3491"/>
    <w:rsid w:val="00AD7C56"/>
    <w:rsid w:val="00AE1136"/>
    <w:rsid w:val="00AE178E"/>
    <w:rsid w:val="00AE1E92"/>
    <w:rsid w:val="00AE49E3"/>
    <w:rsid w:val="00AE58C3"/>
    <w:rsid w:val="00AF174C"/>
    <w:rsid w:val="00AF31C2"/>
    <w:rsid w:val="00AF3E43"/>
    <w:rsid w:val="00AF401F"/>
    <w:rsid w:val="00AF40A7"/>
    <w:rsid w:val="00AF6386"/>
    <w:rsid w:val="00AF6EE5"/>
    <w:rsid w:val="00B000A2"/>
    <w:rsid w:val="00B0045C"/>
    <w:rsid w:val="00B06427"/>
    <w:rsid w:val="00B07083"/>
    <w:rsid w:val="00B13C80"/>
    <w:rsid w:val="00B1499B"/>
    <w:rsid w:val="00B14A52"/>
    <w:rsid w:val="00B1650A"/>
    <w:rsid w:val="00B16977"/>
    <w:rsid w:val="00B204AB"/>
    <w:rsid w:val="00B20A01"/>
    <w:rsid w:val="00B229AF"/>
    <w:rsid w:val="00B23C9D"/>
    <w:rsid w:val="00B30DB5"/>
    <w:rsid w:val="00B314B3"/>
    <w:rsid w:val="00B3185C"/>
    <w:rsid w:val="00B41F0D"/>
    <w:rsid w:val="00B43D9D"/>
    <w:rsid w:val="00B45999"/>
    <w:rsid w:val="00B461EE"/>
    <w:rsid w:val="00B503C1"/>
    <w:rsid w:val="00B52658"/>
    <w:rsid w:val="00B571E6"/>
    <w:rsid w:val="00B57EC6"/>
    <w:rsid w:val="00B60782"/>
    <w:rsid w:val="00B60901"/>
    <w:rsid w:val="00B61B76"/>
    <w:rsid w:val="00B624C3"/>
    <w:rsid w:val="00B70AA0"/>
    <w:rsid w:val="00B7186F"/>
    <w:rsid w:val="00B76246"/>
    <w:rsid w:val="00B80E40"/>
    <w:rsid w:val="00B82AA1"/>
    <w:rsid w:val="00B82FFA"/>
    <w:rsid w:val="00B876C0"/>
    <w:rsid w:val="00B91EE3"/>
    <w:rsid w:val="00B92CD3"/>
    <w:rsid w:val="00B92ECD"/>
    <w:rsid w:val="00B96BD7"/>
    <w:rsid w:val="00BA337D"/>
    <w:rsid w:val="00BA3BE7"/>
    <w:rsid w:val="00BA519B"/>
    <w:rsid w:val="00BA5986"/>
    <w:rsid w:val="00BA5BFF"/>
    <w:rsid w:val="00BA6F46"/>
    <w:rsid w:val="00BA712C"/>
    <w:rsid w:val="00BB0531"/>
    <w:rsid w:val="00BB1809"/>
    <w:rsid w:val="00BB1911"/>
    <w:rsid w:val="00BB3560"/>
    <w:rsid w:val="00BB4F2C"/>
    <w:rsid w:val="00BB57FC"/>
    <w:rsid w:val="00BB76B7"/>
    <w:rsid w:val="00BC2962"/>
    <w:rsid w:val="00BC33FC"/>
    <w:rsid w:val="00BD038A"/>
    <w:rsid w:val="00BD26CC"/>
    <w:rsid w:val="00BD2B21"/>
    <w:rsid w:val="00BD2F7F"/>
    <w:rsid w:val="00BD403B"/>
    <w:rsid w:val="00BD591A"/>
    <w:rsid w:val="00BD6FA8"/>
    <w:rsid w:val="00BF0023"/>
    <w:rsid w:val="00BF1381"/>
    <w:rsid w:val="00BF16D2"/>
    <w:rsid w:val="00BF2BBB"/>
    <w:rsid w:val="00BF4E5D"/>
    <w:rsid w:val="00BF7041"/>
    <w:rsid w:val="00BF7DB5"/>
    <w:rsid w:val="00C00073"/>
    <w:rsid w:val="00C018E6"/>
    <w:rsid w:val="00C02576"/>
    <w:rsid w:val="00C02EA1"/>
    <w:rsid w:val="00C05205"/>
    <w:rsid w:val="00C0595D"/>
    <w:rsid w:val="00C148EE"/>
    <w:rsid w:val="00C20FDB"/>
    <w:rsid w:val="00C21EB1"/>
    <w:rsid w:val="00C225CC"/>
    <w:rsid w:val="00C248AD"/>
    <w:rsid w:val="00C25707"/>
    <w:rsid w:val="00C30956"/>
    <w:rsid w:val="00C3240E"/>
    <w:rsid w:val="00C32D0F"/>
    <w:rsid w:val="00C32DB8"/>
    <w:rsid w:val="00C341A0"/>
    <w:rsid w:val="00C43D77"/>
    <w:rsid w:val="00C46CF2"/>
    <w:rsid w:val="00C46D60"/>
    <w:rsid w:val="00C5169C"/>
    <w:rsid w:val="00C53599"/>
    <w:rsid w:val="00C53B0E"/>
    <w:rsid w:val="00C54120"/>
    <w:rsid w:val="00C54BC3"/>
    <w:rsid w:val="00C5500A"/>
    <w:rsid w:val="00C5655D"/>
    <w:rsid w:val="00C56931"/>
    <w:rsid w:val="00C56C59"/>
    <w:rsid w:val="00C57C3A"/>
    <w:rsid w:val="00C6481B"/>
    <w:rsid w:val="00C71444"/>
    <w:rsid w:val="00C71D3C"/>
    <w:rsid w:val="00C73632"/>
    <w:rsid w:val="00C738BA"/>
    <w:rsid w:val="00C741DA"/>
    <w:rsid w:val="00C74539"/>
    <w:rsid w:val="00C74F04"/>
    <w:rsid w:val="00C75CE4"/>
    <w:rsid w:val="00C800DB"/>
    <w:rsid w:val="00C804E3"/>
    <w:rsid w:val="00C83C23"/>
    <w:rsid w:val="00C847FB"/>
    <w:rsid w:val="00C84BB9"/>
    <w:rsid w:val="00C85373"/>
    <w:rsid w:val="00C86B8D"/>
    <w:rsid w:val="00C876DF"/>
    <w:rsid w:val="00C87DE9"/>
    <w:rsid w:val="00C9016D"/>
    <w:rsid w:val="00C9062A"/>
    <w:rsid w:val="00C91163"/>
    <w:rsid w:val="00C9475E"/>
    <w:rsid w:val="00C96E51"/>
    <w:rsid w:val="00C97BB8"/>
    <w:rsid w:val="00CA0227"/>
    <w:rsid w:val="00CA0BE1"/>
    <w:rsid w:val="00CA1ABD"/>
    <w:rsid w:val="00CA343C"/>
    <w:rsid w:val="00CA39DA"/>
    <w:rsid w:val="00CA5A1D"/>
    <w:rsid w:val="00CB09F7"/>
    <w:rsid w:val="00CB0B49"/>
    <w:rsid w:val="00CB16A7"/>
    <w:rsid w:val="00CB1BC1"/>
    <w:rsid w:val="00CB2F56"/>
    <w:rsid w:val="00CB39D1"/>
    <w:rsid w:val="00CC1B5B"/>
    <w:rsid w:val="00CC3409"/>
    <w:rsid w:val="00CC39F0"/>
    <w:rsid w:val="00CC7E18"/>
    <w:rsid w:val="00CD038E"/>
    <w:rsid w:val="00CD0F82"/>
    <w:rsid w:val="00CD1F7C"/>
    <w:rsid w:val="00CD7F03"/>
    <w:rsid w:val="00CE01AC"/>
    <w:rsid w:val="00CE14A7"/>
    <w:rsid w:val="00CE14AA"/>
    <w:rsid w:val="00CE3874"/>
    <w:rsid w:val="00CE3ABB"/>
    <w:rsid w:val="00CE42F7"/>
    <w:rsid w:val="00CE6A46"/>
    <w:rsid w:val="00CE6AD6"/>
    <w:rsid w:val="00CE7B94"/>
    <w:rsid w:val="00CF1CF9"/>
    <w:rsid w:val="00CF29DD"/>
    <w:rsid w:val="00CF4556"/>
    <w:rsid w:val="00CF4D13"/>
    <w:rsid w:val="00CF6F53"/>
    <w:rsid w:val="00CF7503"/>
    <w:rsid w:val="00D00EFB"/>
    <w:rsid w:val="00D01E56"/>
    <w:rsid w:val="00D053A8"/>
    <w:rsid w:val="00D054E4"/>
    <w:rsid w:val="00D055EE"/>
    <w:rsid w:val="00D06EED"/>
    <w:rsid w:val="00D10717"/>
    <w:rsid w:val="00D12522"/>
    <w:rsid w:val="00D13A26"/>
    <w:rsid w:val="00D13D3F"/>
    <w:rsid w:val="00D15DAB"/>
    <w:rsid w:val="00D17558"/>
    <w:rsid w:val="00D23161"/>
    <w:rsid w:val="00D24D56"/>
    <w:rsid w:val="00D25D29"/>
    <w:rsid w:val="00D27E8D"/>
    <w:rsid w:val="00D30F1C"/>
    <w:rsid w:val="00D352D9"/>
    <w:rsid w:val="00D37F78"/>
    <w:rsid w:val="00D41589"/>
    <w:rsid w:val="00D41798"/>
    <w:rsid w:val="00D429F3"/>
    <w:rsid w:val="00D45015"/>
    <w:rsid w:val="00D458A3"/>
    <w:rsid w:val="00D46D94"/>
    <w:rsid w:val="00D46DCA"/>
    <w:rsid w:val="00D47356"/>
    <w:rsid w:val="00D50FA1"/>
    <w:rsid w:val="00D54097"/>
    <w:rsid w:val="00D56045"/>
    <w:rsid w:val="00D56DA5"/>
    <w:rsid w:val="00D64FA4"/>
    <w:rsid w:val="00D654A9"/>
    <w:rsid w:val="00D67D64"/>
    <w:rsid w:val="00D7248E"/>
    <w:rsid w:val="00D74110"/>
    <w:rsid w:val="00D753A5"/>
    <w:rsid w:val="00D757EB"/>
    <w:rsid w:val="00D77462"/>
    <w:rsid w:val="00D8036E"/>
    <w:rsid w:val="00D80E8D"/>
    <w:rsid w:val="00D81520"/>
    <w:rsid w:val="00D83AE5"/>
    <w:rsid w:val="00D87416"/>
    <w:rsid w:val="00D8766D"/>
    <w:rsid w:val="00D87925"/>
    <w:rsid w:val="00D91834"/>
    <w:rsid w:val="00D918DD"/>
    <w:rsid w:val="00D93540"/>
    <w:rsid w:val="00D93F13"/>
    <w:rsid w:val="00D95A17"/>
    <w:rsid w:val="00DA3F25"/>
    <w:rsid w:val="00DA6045"/>
    <w:rsid w:val="00DA6336"/>
    <w:rsid w:val="00DA6DE1"/>
    <w:rsid w:val="00DB1516"/>
    <w:rsid w:val="00DB1937"/>
    <w:rsid w:val="00DB3085"/>
    <w:rsid w:val="00DB68D7"/>
    <w:rsid w:val="00DC02B5"/>
    <w:rsid w:val="00DC1BA0"/>
    <w:rsid w:val="00DC21D6"/>
    <w:rsid w:val="00DC22A1"/>
    <w:rsid w:val="00DC48FA"/>
    <w:rsid w:val="00DC5588"/>
    <w:rsid w:val="00DC6028"/>
    <w:rsid w:val="00DC7D1E"/>
    <w:rsid w:val="00DD012E"/>
    <w:rsid w:val="00DD0E43"/>
    <w:rsid w:val="00DD1A3E"/>
    <w:rsid w:val="00DD26D2"/>
    <w:rsid w:val="00DE0498"/>
    <w:rsid w:val="00DE07A9"/>
    <w:rsid w:val="00DE1155"/>
    <w:rsid w:val="00DE2236"/>
    <w:rsid w:val="00DE3A79"/>
    <w:rsid w:val="00DE45E0"/>
    <w:rsid w:val="00DE49A2"/>
    <w:rsid w:val="00DE70FF"/>
    <w:rsid w:val="00DE73FF"/>
    <w:rsid w:val="00DF0771"/>
    <w:rsid w:val="00DF237C"/>
    <w:rsid w:val="00DF23B1"/>
    <w:rsid w:val="00DF2B45"/>
    <w:rsid w:val="00DF4AF1"/>
    <w:rsid w:val="00DF51AC"/>
    <w:rsid w:val="00DF5EA7"/>
    <w:rsid w:val="00E008B8"/>
    <w:rsid w:val="00E02E5F"/>
    <w:rsid w:val="00E03FE1"/>
    <w:rsid w:val="00E06EB4"/>
    <w:rsid w:val="00E07F13"/>
    <w:rsid w:val="00E131D6"/>
    <w:rsid w:val="00E136A9"/>
    <w:rsid w:val="00E14525"/>
    <w:rsid w:val="00E15AF8"/>
    <w:rsid w:val="00E169E4"/>
    <w:rsid w:val="00E17CA4"/>
    <w:rsid w:val="00E20185"/>
    <w:rsid w:val="00E20EDA"/>
    <w:rsid w:val="00E23517"/>
    <w:rsid w:val="00E31258"/>
    <w:rsid w:val="00E31C4F"/>
    <w:rsid w:val="00E32823"/>
    <w:rsid w:val="00E32D08"/>
    <w:rsid w:val="00E3395F"/>
    <w:rsid w:val="00E37E51"/>
    <w:rsid w:val="00E4256D"/>
    <w:rsid w:val="00E44553"/>
    <w:rsid w:val="00E465D3"/>
    <w:rsid w:val="00E51818"/>
    <w:rsid w:val="00E546C5"/>
    <w:rsid w:val="00E56275"/>
    <w:rsid w:val="00E63E81"/>
    <w:rsid w:val="00E70196"/>
    <w:rsid w:val="00E705B6"/>
    <w:rsid w:val="00E71F72"/>
    <w:rsid w:val="00E72815"/>
    <w:rsid w:val="00E7443D"/>
    <w:rsid w:val="00E8023E"/>
    <w:rsid w:val="00E81396"/>
    <w:rsid w:val="00E818FB"/>
    <w:rsid w:val="00E81FB4"/>
    <w:rsid w:val="00E847DA"/>
    <w:rsid w:val="00E9034C"/>
    <w:rsid w:val="00E93630"/>
    <w:rsid w:val="00EA2626"/>
    <w:rsid w:val="00EA2C96"/>
    <w:rsid w:val="00EA59B3"/>
    <w:rsid w:val="00EA6181"/>
    <w:rsid w:val="00EA6306"/>
    <w:rsid w:val="00EA6C01"/>
    <w:rsid w:val="00EB6313"/>
    <w:rsid w:val="00EB7B23"/>
    <w:rsid w:val="00EC54D0"/>
    <w:rsid w:val="00EC66BC"/>
    <w:rsid w:val="00ED0E5D"/>
    <w:rsid w:val="00ED1048"/>
    <w:rsid w:val="00ED29C0"/>
    <w:rsid w:val="00ED32AD"/>
    <w:rsid w:val="00ED6341"/>
    <w:rsid w:val="00ED694D"/>
    <w:rsid w:val="00ED7A68"/>
    <w:rsid w:val="00EE37FF"/>
    <w:rsid w:val="00EE4386"/>
    <w:rsid w:val="00EE553F"/>
    <w:rsid w:val="00EE7036"/>
    <w:rsid w:val="00EF1945"/>
    <w:rsid w:val="00EF1A13"/>
    <w:rsid w:val="00EF22EA"/>
    <w:rsid w:val="00F00F72"/>
    <w:rsid w:val="00F01060"/>
    <w:rsid w:val="00F01609"/>
    <w:rsid w:val="00F01931"/>
    <w:rsid w:val="00F01EF1"/>
    <w:rsid w:val="00F032D3"/>
    <w:rsid w:val="00F20588"/>
    <w:rsid w:val="00F212D3"/>
    <w:rsid w:val="00F23378"/>
    <w:rsid w:val="00F24913"/>
    <w:rsid w:val="00F254BD"/>
    <w:rsid w:val="00F27792"/>
    <w:rsid w:val="00F27CC1"/>
    <w:rsid w:val="00F3592F"/>
    <w:rsid w:val="00F35D96"/>
    <w:rsid w:val="00F37381"/>
    <w:rsid w:val="00F46121"/>
    <w:rsid w:val="00F469DC"/>
    <w:rsid w:val="00F46D8B"/>
    <w:rsid w:val="00F4794A"/>
    <w:rsid w:val="00F53265"/>
    <w:rsid w:val="00F61661"/>
    <w:rsid w:val="00F61747"/>
    <w:rsid w:val="00F64533"/>
    <w:rsid w:val="00F65D53"/>
    <w:rsid w:val="00F6640D"/>
    <w:rsid w:val="00F7009E"/>
    <w:rsid w:val="00F70475"/>
    <w:rsid w:val="00F7071F"/>
    <w:rsid w:val="00F71C86"/>
    <w:rsid w:val="00F723BB"/>
    <w:rsid w:val="00F755E4"/>
    <w:rsid w:val="00F76DE1"/>
    <w:rsid w:val="00F815A7"/>
    <w:rsid w:val="00F81B65"/>
    <w:rsid w:val="00F81BD9"/>
    <w:rsid w:val="00F82111"/>
    <w:rsid w:val="00F83009"/>
    <w:rsid w:val="00F844CA"/>
    <w:rsid w:val="00F87087"/>
    <w:rsid w:val="00F870C7"/>
    <w:rsid w:val="00F874FB"/>
    <w:rsid w:val="00F930E9"/>
    <w:rsid w:val="00F935CF"/>
    <w:rsid w:val="00F950F2"/>
    <w:rsid w:val="00F9519A"/>
    <w:rsid w:val="00F95AA7"/>
    <w:rsid w:val="00F965E8"/>
    <w:rsid w:val="00F96900"/>
    <w:rsid w:val="00F978FB"/>
    <w:rsid w:val="00FA187F"/>
    <w:rsid w:val="00FA503C"/>
    <w:rsid w:val="00FA5B00"/>
    <w:rsid w:val="00FA6156"/>
    <w:rsid w:val="00FA72E9"/>
    <w:rsid w:val="00FB0CBC"/>
    <w:rsid w:val="00FB1995"/>
    <w:rsid w:val="00FB1ACA"/>
    <w:rsid w:val="00FB2C36"/>
    <w:rsid w:val="00FB7438"/>
    <w:rsid w:val="00FB7645"/>
    <w:rsid w:val="00FC0658"/>
    <w:rsid w:val="00FC2A62"/>
    <w:rsid w:val="00FC2F80"/>
    <w:rsid w:val="00FC3279"/>
    <w:rsid w:val="00FC4D41"/>
    <w:rsid w:val="00FC5B74"/>
    <w:rsid w:val="00FC72A4"/>
    <w:rsid w:val="00FD0C75"/>
    <w:rsid w:val="00FD2245"/>
    <w:rsid w:val="00FD2687"/>
    <w:rsid w:val="00FD2ECA"/>
    <w:rsid w:val="00FD3AFB"/>
    <w:rsid w:val="00FD4D71"/>
    <w:rsid w:val="00FD728C"/>
    <w:rsid w:val="00FE37EC"/>
    <w:rsid w:val="00FE3F71"/>
    <w:rsid w:val="00FE79A8"/>
    <w:rsid w:val="00FF2BF8"/>
    <w:rsid w:val="00FF53FF"/>
    <w:rsid w:val="00FF58EF"/>
  </w:rsids>
  <m:mathPr>
    <m:mathFont m:val="Cambria Math"/>
    <m:brkBin m:val="before"/>
    <m:brkBinSub m:val="--"/>
    <m:smallFrac m:val="0"/>
    <m:dispDef/>
    <m:lMargin m:val="0"/>
    <m:rMargin m:val="0"/>
    <m:defJc m:val="centerGroup"/>
    <m:wrapIndent m:val="1440"/>
    <m:intLim m:val="subSup"/>
    <m:naryLim m:val="undOvr"/>
  </m:mathPr>
  <w:themeFontLang w:val="en-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E0DB9"/>
  <w15:docId w15:val="{30D67366-2C87-F445-9351-897020933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72C3"/>
    <w:rPr>
      <w:rFonts w:ascii="Times New Roman" w:eastAsia="Times New Roman" w:hAnsi="Times New Roman" w:cs="Times New Roman"/>
      <w:lang w:eastAsia="en-GB"/>
    </w:rPr>
  </w:style>
  <w:style w:type="paragraph" w:styleId="Heading1">
    <w:name w:val="heading 1"/>
    <w:basedOn w:val="Normal"/>
    <w:link w:val="Heading1Char"/>
    <w:uiPriority w:val="9"/>
    <w:qFormat/>
    <w:rsid w:val="009247E2"/>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9247E2"/>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unhideWhenUsed/>
    <w:qFormat/>
    <w:rsid w:val="00AD2916"/>
    <w:pPr>
      <w:keepNext/>
      <w:keepLines/>
      <w:spacing w:before="40"/>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semiHidden/>
    <w:unhideWhenUsed/>
    <w:qFormat/>
    <w:rsid w:val="00AD2916"/>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47E2"/>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9247E2"/>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9247E2"/>
    <w:pPr>
      <w:spacing w:before="100" w:beforeAutospacing="1" w:after="100" w:afterAutospacing="1"/>
    </w:pPr>
  </w:style>
  <w:style w:type="paragraph" w:styleId="Header">
    <w:name w:val="header"/>
    <w:basedOn w:val="Normal"/>
    <w:link w:val="HeaderChar"/>
    <w:uiPriority w:val="99"/>
    <w:unhideWhenUsed/>
    <w:rsid w:val="00460723"/>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460723"/>
  </w:style>
  <w:style w:type="paragraph" w:styleId="Footer">
    <w:name w:val="footer"/>
    <w:basedOn w:val="Normal"/>
    <w:link w:val="FooterChar"/>
    <w:uiPriority w:val="99"/>
    <w:unhideWhenUsed/>
    <w:rsid w:val="00460723"/>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460723"/>
  </w:style>
  <w:style w:type="character" w:customStyle="1" w:styleId="Heading3Char">
    <w:name w:val="Heading 3 Char"/>
    <w:basedOn w:val="DefaultParagraphFont"/>
    <w:link w:val="Heading3"/>
    <w:uiPriority w:val="9"/>
    <w:rsid w:val="00AD2916"/>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AD2916"/>
    <w:rPr>
      <w:rFonts w:asciiTheme="majorHAnsi" w:eastAsiaTheme="majorEastAsia" w:hAnsiTheme="majorHAnsi" w:cstheme="majorBidi"/>
      <w:i/>
      <w:iCs/>
      <w:color w:val="2F5496" w:themeColor="accent1" w:themeShade="BF"/>
    </w:rPr>
  </w:style>
  <w:style w:type="paragraph" w:customStyle="1" w:styleId="root-block-node">
    <w:name w:val="root-block-node"/>
    <w:basedOn w:val="Normal"/>
    <w:rsid w:val="00E136A9"/>
    <w:pPr>
      <w:spacing w:before="100" w:beforeAutospacing="1" w:after="100" w:afterAutospacing="1"/>
    </w:pPr>
  </w:style>
  <w:style w:type="character" w:styleId="CommentReference">
    <w:name w:val="annotation reference"/>
    <w:basedOn w:val="DefaultParagraphFont"/>
    <w:uiPriority w:val="99"/>
    <w:semiHidden/>
    <w:unhideWhenUsed/>
    <w:rsid w:val="00997A8E"/>
    <w:rPr>
      <w:sz w:val="16"/>
      <w:szCs w:val="16"/>
    </w:rPr>
  </w:style>
  <w:style w:type="paragraph" w:styleId="CommentText">
    <w:name w:val="annotation text"/>
    <w:basedOn w:val="Normal"/>
    <w:link w:val="CommentTextChar"/>
    <w:uiPriority w:val="99"/>
    <w:semiHidden/>
    <w:unhideWhenUsed/>
    <w:rsid w:val="00997A8E"/>
    <w:rPr>
      <w:sz w:val="20"/>
      <w:szCs w:val="20"/>
    </w:rPr>
  </w:style>
  <w:style w:type="character" w:customStyle="1" w:styleId="CommentTextChar">
    <w:name w:val="Comment Text Char"/>
    <w:basedOn w:val="DefaultParagraphFont"/>
    <w:link w:val="CommentText"/>
    <w:uiPriority w:val="99"/>
    <w:semiHidden/>
    <w:rsid w:val="00997A8E"/>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997A8E"/>
    <w:rPr>
      <w:b/>
      <w:bCs/>
    </w:rPr>
  </w:style>
  <w:style w:type="character" w:customStyle="1" w:styleId="CommentSubjectChar">
    <w:name w:val="Comment Subject Char"/>
    <w:basedOn w:val="CommentTextChar"/>
    <w:link w:val="CommentSubject"/>
    <w:uiPriority w:val="99"/>
    <w:semiHidden/>
    <w:rsid w:val="00997A8E"/>
    <w:rPr>
      <w:rFonts w:ascii="Times New Roman" w:eastAsia="Times New Roman" w:hAnsi="Times New Roman" w:cs="Times New Roman"/>
      <w:b/>
      <w:bCs/>
      <w:sz w:val="20"/>
      <w:szCs w:val="20"/>
      <w:lang w:eastAsia="en-GB"/>
    </w:rPr>
  </w:style>
  <w:style w:type="paragraph" w:styleId="Revision">
    <w:name w:val="Revision"/>
    <w:hidden/>
    <w:uiPriority w:val="99"/>
    <w:semiHidden/>
    <w:rsid w:val="00997A8E"/>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997A8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7A8E"/>
    <w:rPr>
      <w:rFonts w:ascii="Segoe UI" w:eastAsia="Times New Roman" w:hAnsi="Segoe UI" w:cs="Segoe UI"/>
      <w:sz w:val="18"/>
      <w:szCs w:val="18"/>
      <w:lang w:eastAsia="en-GB"/>
    </w:rPr>
  </w:style>
  <w:style w:type="paragraph" w:styleId="NoSpacing">
    <w:name w:val="No Spacing"/>
    <w:uiPriority w:val="1"/>
    <w:qFormat/>
    <w:rsid w:val="00445174"/>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1133B5"/>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eastAsia="en-US"/>
    </w:rPr>
  </w:style>
  <w:style w:type="paragraph" w:styleId="TOC2">
    <w:name w:val="toc 2"/>
    <w:basedOn w:val="Normal"/>
    <w:next w:val="Normal"/>
    <w:autoRedefine/>
    <w:uiPriority w:val="39"/>
    <w:unhideWhenUsed/>
    <w:rsid w:val="005A6987"/>
    <w:pPr>
      <w:tabs>
        <w:tab w:val="right" w:leader="dot" w:pos="9016"/>
      </w:tabs>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7D5D81"/>
    <w:pPr>
      <w:tabs>
        <w:tab w:val="right" w:leader="dot" w:pos="9016"/>
      </w:tabs>
      <w:ind w:left="480"/>
    </w:pPr>
    <w:rPr>
      <w:rFonts w:asciiTheme="minorHAnsi" w:hAnsiTheme="minorHAnsi" w:cstheme="minorHAnsi"/>
      <w:sz w:val="20"/>
      <w:szCs w:val="20"/>
    </w:rPr>
  </w:style>
  <w:style w:type="paragraph" w:styleId="TOC1">
    <w:name w:val="toc 1"/>
    <w:basedOn w:val="Normal"/>
    <w:next w:val="Normal"/>
    <w:autoRedefine/>
    <w:uiPriority w:val="39"/>
    <w:unhideWhenUsed/>
    <w:rsid w:val="00D37F78"/>
    <w:pPr>
      <w:tabs>
        <w:tab w:val="right" w:leader="dot" w:pos="9016"/>
      </w:tabs>
      <w:spacing w:before="120"/>
    </w:pPr>
    <w:rPr>
      <w:rFonts w:asciiTheme="minorHAnsi" w:hAnsiTheme="minorHAnsi" w:cstheme="minorHAnsi"/>
      <w:b/>
      <w:bCs/>
      <w:i/>
      <w:iCs/>
    </w:rPr>
  </w:style>
  <w:style w:type="character" w:styleId="Hyperlink">
    <w:name w:val="Hyperlink"/>
    <w:basedOn w:val="DefaultParagraphFont"/>
    <w:uiPriority w:val="99"/>
    <w:unhideWhenUsed/>
    <w:rsid w:val="001133B5"/>
    <w:rPr>
      <w:color w:val="0563C1" w:themeColor="hyperlink"/>
      <w:u w:val="single"/>
    </w:rPr>
  </w:style>
  <w:style w:type="paragraph" w:styleId="TOC4">
    <w:name w:val="toc 4"/>
    <w:basedOn w:val="Normal"/>
    <w:next w:val="Normal"/>
    <w:autoRedefine/>
    <w:uiPriority w:val="39"/>
    <w:semiHidden/>
    <w:unhideWhenUsed/>
    <w:rsid w:val="001133B5"/>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1133B5"/>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1133B5"/>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1133B5"/>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1133B5"/>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1133B5"/>
    <w:pPr>
      <w:ind w:left="192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740F8D"/>
    <w:rPr>
      <w:color w:val="954F72" w:themeColor="followedHyperlink"/>
      <w:u w:val="single"/>
    </w:rPr>
  </w:style>
  <w:style w:type="character" w:styleId="PageNumber">
    <w:name w:val="page number"/>
    <w:basedOn w:val="DefaultParagraphFont"/>
    <w:uiPriority w:val="99"/>
    <w:semiHidden/>
    <w:unhideWhenUsed/>
    <w:rsid w:val="00541854"/>
  </w:style>
  <w:style w:type="character" w:customStyle="1" w:styleId="apple-converted-space">
    <w:name w:val="apple-converted-space"/>
    <w:basedOn w:val="DefaultParagraphFont"/>
    <w:rsid w:val="00542C22"/>
  </w:style>
  <w:style w:type="character" w:customStyle="1" w:styleId="volumeinfo">
    <w:name w:val="volumeinfo"/>
    <w:basedOn w:val="DefaultParagraphFont"/>
    <w:rsid w:val="00542C22"/>
  </w:style>
  <w:style w:type="paragraph" w:customStyle="1" w:styleId="mb0">
    <w:name w:val="mb0"/>
    <w:basedOn w:val="Normal"/>
    <w:rsid w:val="007372C3"/>
    <w:pPr>
      <w:spacing w:before="100" w:beforeAutospacing="1" w:after="100" w:afterAutospacing="1"/>
    </w:pPr>
  </w:style>
  <w:style w:type="character" w:styleId="Emphasis">
    <w:name w:val="Emphasis"/>
    <w:basedOn w:val="DefaultParagraphFont"/>
    <w:uiPriority w:val="20"/>
    <w:qFormat/>
    <w:rsid w:val="007372C3"/>
    <w:rPr>
      <w:i/>
      <w:iCs/>
    </w:rPr>
  </w:style>
  <w:style w:type="character" w:customStyle="1" w:styleId="fm-vol-iss-date">
    <w:name w:val="fm-vol-iss-date"/>
    <w:basedOn w:val="DefaultParagraphFont"/>
    <w:rsid w:val="007372C3"/>
  </w:style>
  <w:style w:type="character" w:customStyle="1" w:styleId="doi">
    <w:name w:val="doi"/>
    <w:basedOn w:val="DefaultParagraphFont"/>
    <w:rsid w:val="007372C3"/>
  </w:style>
  <w:style w:type="character" w:customStyle="1" w:styleId="fm-citation-ids-label">
    <w:name w:val="fm-citation-ids-label"/>
    <w:basedOn w:val="DefaultParagraphFont"/>
    <w:rsid w:val="007372C3"/>
  </w:style>
  <w:style w:type="character" w:styleId="UnresolvedMention">
    <w:name w:val="Unresolved Mention"/>
    <w:basedOn w:val="DefaultParagraphFont"/>
    <w:uiPriority w:val="99"/>
    <w:semiHidden/>
    <w:unhideWhenUsed/>
    <w:rsid w:val="00A01B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4744">
      <w:bodyDiv w:val="1"/>
      <w:marLeft w:val="0"/>
      <w:marRight w:val="0"/>
      <w:marTop w:val="0"/>
      <w:marBottom w:val="0"/>
      <w:divBdr>
        <w:top w:val="none" w:sz="0" w:space="0" w:color="auto"/>
        <w:left w:val="none" w:sz="0" w:space="0" w:color="auto"/>
        <w:bottom w:val="none" w:sz="0" w:space="0" w:color="auto"/>
        <w:right w:val="none" w:sz="0" w:space="0" w:color="auto"/>
      </w:divBdr>
      <w:divsChild>
        <w:div w:id="1807504129">
          <w:marLeft w:val="0"/>
          <w:marRight w:val="0"/>
          <w:marTop w:val="0"/>
          <w:marBottom w:val="0"/>
          <w:divBdr>
            <w:top w:val="none" w:sz="0" w:space="0" w:color="auto"/>
            <w:left w:val="none" w:sz="0" w:space="0" w:color="auto"/>
            <w:bottom w:val="none" w:sz="0" w:space="0" w:color="auto"/>
            <w:right w:val="none" w:sz="0" w:space="0" w:color="auto"/>
          </w:divBdr>
          <w:divsChild>
            <w:div w:id="1113213456">
              <w:marLeft w:val="0"/>
              <w:marRight w:val="0"/>
              <w:marTop w:val="0"/>
              <w:marBottom w:val="0"/>
              <w:divBdr>
                <w:top w:val="none" w:sz="0" w:space="0" w:color="auto"/>
                <w:left w:val="none" w:sz="0" w:space="0" w:color="auto"/>
                <w:bottom w:val="none" w:sz="0" w:space="0" w:color="auto"/>
                <w:right w:val="none" w:sz="0" w:space="0" w:color="auto"/>
              </w:divBdr>
              <w:divsChild>
                <w:div w:id="124433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055">
      <w:bodyDiv w:val="1"/>
      <w:marLeft w:val="0"/>
      <w:marRight w:val="0"/>
      <w:marTop w:val="0"/>
      <w:marBottom w:val="0"/>
      <w:divBdr>
        <w:top w:val="none" w:sz="0" w:space="0" w:color="auto"/>
        <w:left w:val="none" w:sz="0" w:space="0" w:color="auto"/>
        <w:bottom w:val="none" w:sz="0" w:space="0" w:color="auto"/>
        <w:right w:val="none" w:sz="0" w:space="0" w:color="auto"/>
      </w:divBdr>
    </w:div>
    <w:div w:id="28647046">
      <w:bodyDiv w:val="1"/>
      <w:marLeft w:val="0"/>
      <w:marRight w:val="0"/>
      <w:marTop w:val="0"/>
      <w:marBottom w:val="0"/>
      <w:divBdr>
        <w:top w:val="none" w:sz="0" w:space="0" w:color="auto"/>
        <w:left w:val="none" w:sz="0" w:space="0" w:color="auto"/>
        <w:bottom w:val="none" w:sz="0" w:space="0" w:color="auto"/>
        <w:right w:val="none" w:sz="0" w:space="0" w:color="auto"/>
      </w:divBdr>
    </w:div>
    <w:div w:id="32315932">
      <w:bodyDiv w:val="1"/>
      <w:marLeft w:val="0"/>
      <w:marRight w:val="0"/>
      <w:marTop w:val="0"/>
      <w:marBottom w:val="0"/>
      <w:divBdr>
        <w:top w:val="none" w:sz="0" w:space="0" w:color="auto"/>
        <w:left w:val="none" w:sz="0" w:space="0" w:color="auto"/>
        <w:bottom w:val="none" w:sz="0" w:space="0" w:color="auto"/>
        <w:right w:val="none" w:sz="0" w:space="0" w:color="auto"/>
      </w:divBdr>
      <w:divsChild>
        <w:div w:id="1655333691">
          <w:marLeft w:val="0"/>
          <w:marRight w:val="0"/>
          <w:marTop w:val="0"/>
          <w:marBottom w:val="0"/>
          <w:divBdr>
            <w:top w:val="none" w:sz="0" w:space="0" w:color="auto"/>
            <w:left w:val="none" w:sz="0" w:space="0" w:color="auto"/>
            <w:bottom w:val="none" w:sz="0" w:space="0" w:color="auto"/>
            <w:right w:val="none" w:sz="0" w:space="0" w:color="auto"/>
          </w:divBdr>
          <w:divsChild>
            <w:div w:id="517081718">
              <w:marLeft w:val="0"/>
              <w:marRight w:val="0"/>
              <w:marTop w:val="0"/>
              <w:marBottom w:val="0"/>
              <w:divBdr>
                <w:top w:val="none" w:sz="0" w:space="0" w:color="auto"/>
                <w:left w:val="none" w:sz="0" w:space="0" w:color="auto"/>
                <w:bottom w:val="none" w:sz="0" w:space="0" w:color="auto"/>
                <w:right w:val="none" w:sz="0" w:space="0" w:color="auto"/>
              </w:divBdr>
              <w:divsChild>
                <w:div w:id="918827416">
                  <w:marLeft w:val="0"/>
                  <w:marRight w:val="0"/>
                  <w:marTop w:val="0"/>
                  <w:marBottom w:val="0"/>
                  <w:divBdr>
                    <w:top w:val="none" w:sz="0" w:space="0" w:color="auto"/>
                    <w:left w:val="none" w:sz="0" w:space="0" w:color="auto"/>
                    <w:bottom w:val="none" w:sz="0" w:space="0" w:color="auto"/>
                    <w:right w:val="none" w:sz="0" w:space="0" w:color="auto"/>
                  </w:divBdr>
                </w:div>
              </w:divsChild>
            </w:div>
            <w:div w:id="901864005">
              <w:marLeft w:val="0"/>
              <w:marRight w:val="0"/>
              <w:marTop w:val="0"/>
              <w:marBottom w:val="0"/>
              <w:divBdr>
                <w:top w:val="none" w:sz="0" w:space="0" w:color="auto"/>
                <w:left w:val="none" w:sz="0" w:space="0" w:color="auto"/>
                <w:bottom w:val="none" w:sz="0" w:space="0" w:color="auto"/>
                <w:right w:val="none" w:sz="0" w:space="0" w:color="auto"/>
              </w:divBdr>
              <w:divsChild>
                <w:div w:id="68493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3508">
      <w:bodyDiv w:val="1"/>
      <w:marLeft w:val="0"/>
      <w:marRight w:val="0"/>
      <w:marTop w:val="0"/>
      <w:marBottom w:val="0"/>
      <w:divBdr>
        <w:top w:val="none" w:sz="0" w:space="0" w:color="auto"/>
        <w:left w:val="none" w:sz="0" w:space="0" w:color="auto"/>
        <w:bottom w:val="none" w:sz="0" w:space="0" w:color="auto"/>
        <w:right w:val="none" w:sz="0" w:space="0" w:color="auto"/>
      </w:divBdr>
      <w:divsChild>
        <w:div w:id="70784490">
          <w:marLeft w:val="0"/>
          <w:marRight w:val="0"/>
          <w:marTop w:val="0"/>
          <w:marBottom w:val="0"/>
          <w:divBdr>
            <w:top w:val="none" w:sz="0" w:space="0" w:color="auto"/>
            <w:left w:val="none" w:sz="0" w:space="0" w:color="auto"/>
            <w:bottom w:val="none" w:sz="0" w:space="0" w:color="auto"/>
            <w:right w:val="none" w:sz="0" w:space="0" w:color="auto"/>
          </w:divBdr>
        </w:div>
        <w:div w:id="1202085319">
          <w:marLeft w:val="0"/>
          <w:marRight w:val="0"/>
          <w:marTop w:val="0"/>
          <w:marBottom w:val="0"/>
          <w:divBdr>
            <w:top w:val="none" w:sz="0" w:space="0" w:color="auto"/>
            <w:left w:val="none" w:sz="0" w:space="0" w:color="auto"/>
            <w:bottom w:val="none" w:sz="0" w:space="0" w:color="auto"/>
            <w:right w:val="none" w:sz="0" w:space="0" w:color="auto"/>
          </w:divBdr>
        </w:div>
        <w:div w:id="1273778842">
          <w:marLeft w:val="0"/>
          <w:marRight w:val="0"/>
          <w:marTop w:val="0"/>
          <w:marBottom w:val="0"/>
          <w:divBdr>
            <w:top w:val="none" w:sz="0" w:space="0" w:color="auto"/>
            <w:left w:val="none" w:sz="0" w:space="0" w:color="auto"/>
            <w:bottom w:val="none" w:sz="0" w:space="0" w:color="auto"/>
            <w:right w:val="none" w:sz="0" w:space="0" w:color="auto"/>
          </w:divBdr>
        </w:div>
      </w:divsChild>
    </w:div>
    <w:div w:id="59863862">
      <w:bodyDiv w:val="1"/>
      <w:marLeft w:val="0"/>
      <w:marRight w:val="0"/>
      <w:marTop w:val="0"/>
      <w:marBottom w:val="0"/>
      <w:divBdr>
        <w:top w:val="none" w:sz="0" w:space="0" w:color="auto"/>
        <w:left w:val="none" w:sz="0" w:space="0" w:color="auto"/>
        <w:bottom w:val="none" w:sz="0" w:space="0" w:color="auto"/>
        <w:right w:val="none" w:sz="0" w:space="0" w:color="auto"/>
      </w:divBdr>
    </w:div>
    <w:div w:id="65734977">
      <w:bodyDiv w:val="1"/>
      <w:marLeft w:val="0"/>
      <w:marRight w:val="0"/>
      <w:marTop w:val="0"/>
      <w:marBottom w:val="0"/>
      <w:divBdr>
        <w:top w:val="none" w:sz="0" w:space="0" w:color="auto"/>
        <w:left w:val="none" w:sz="0" w:space="0" w:color="auto"/>
        <w:bottom w:val="none" w:sz="0" w:space="0" w:color="auto"/>
        <w:right w:val="none" w:sz="0" w:space="0" w:color="auto"/>
      </w:divBdr>
    </w:div>
    <w:div w:id="90664812">
      <w:bodyDiv w:val="1"/>
      <w:marLeft w:val="0"/>
      <w:marRight w:val="0"/>
      <w:marTop w:val="0"/>
      <w:marBottom w:val="0"/>
      <w:divBdr>
        <w:top w:val="none" w:sz="0" w:space="0" w:color="auto"/>
        <w:left w:val="none" w:sz="0" w:space="0" w:color="auto"/>
        <w:bottom w:val="none" w:sz="0" w:space="0" w:color="auto"/>
        <w:right w:val="none" w:sz="0" w:space="0" w:color="auto"/>
      </w:divBdr>
    </w:div>
    <w:div w:id="91630746">
      <w:bodyDiv w:val="1"/>
      <w:marLeft w:val="0"/>
      <w:marRight w:val="0"/>
      <w:marTop w:val="0"/>
      <w:marBottom w:val="0"/>
      <w:divBdr>
        <w:top w:val="none" w:sz="0" w:space="0" w:color="auto"/>
        <w:left w:val="none" w:sz="0" w:space="0" w:color="auto"/>
        <w:bottom w:val="none" w:sz="0" w:space="0" w:color="auto"/>
        <w:right w:val="none" w:sz="0" w:space="0" w:color="auto"/>
      </w:divBdr>
      <w:divsChild>
        <w:div w:id="227615488">
          <w:marLeft w:val="0"/>
          <w:marRight w:val="0"/>
          <w:marTop w:val="0"/>
          <w:marBottom w:val="0"/>
          <w:divBdr>
            <w:top w:val="none" w:sz="0" w:space="0" w:color="auto"/>
            <w:left w:val="none" w:sz="0" w:space="0" w:color="auto"/>
            <w:bottom w:val="none" w:sz="0" w:space="0" w:color="auto"/>
            <w:right w:val="none" w:sz="0" w:space="0" w:color="auto"/>
          </w:divBdr>
        </w:div>
        <w:div w:id="513763429">
          <w:marLeft w:val="0"/>
          <w:marRight w:val="0"/>
          <w:marTop w:val="0"/>
          <w:marBottom w:val="0"/>
          <w:divBdr>
            <w:top w:val="none" w:sz="0" w:space="0" w:color="auto"/>
            <w:left w:val="none" w:sz="0" w:space="0" w:color="auto"/>
            <w:bottom w:val="none" w:sz="0" w:space="0" w:color="auto"/>
            <w:right w:val="none" w:sz="0" w:space="0" w:color="auto"/>
          </w:divBdr>
        </w:div>
        <w:div w:id="1533418108">
          <w:marLeft w:val="0"/>
          <w:marRight w:val="0"/>
          <w:marTop w:val="0"/>
          <w:marBottom w:val="0"/>
          <w:divBdr>
            <w:top w:val="none" w:sz="0" w:space="0" w:color="auto"/>
            <w:left w:val="none" w:sz="0" w:space="0" w:color="auto"/>
            <w:bottom w:val="none" w:sz="0" w:space="0" w:color="auto"/>
            <w:right w:val="none" w:sz="0" w:space="0" w:color="auto"/>
          </w:divBdr>
        </w:div>
      </w:divsChild>
    </w:div>
    <w:div w:id="93286371">
      <w:bodyDiv w:val="1"/>
      <w:marLeft w:val="0"/>
      <w:marRight w:val="0"/>
      <w:marTop w:val="0"/>
      <w:marBottom w:val="0"/>
      <w:divBdr>
        <w:top w:val="none" w:sz="0" w:space="0" w:color="auto"/>
        <w:left w:val="none" w:sz="0" w:space="0" w:color="auto"/>
        <w:bottom w:val="none" w:sz="0" w:space="0" w:color="auto"/>
        <w:right w:val="none" w:sz="0" w:space="0" w:color="auto"/>
      </w:divBdr>
      <w:divsChild>
        <w:div w:id="1183398069">
          <w:marLeft w:val="0"/>
          <w:marRight w:val="0"/>
          <w:marTop w:val="0"/>
          <w:marBottom w:val="0"/>
          <w:divBdr>
            <w:top w:val="none" w:sz="0" w:space="0" w:color="auto"/>
            <w:left w:val="none" w:sz="0" w:space="0" w:color="auto"/>
            <w:bottom w:val="none" w:sz="0" w:space="0" w:color="auto"/>
            <w:right w:val="none" w:sz="0" w:space="0" w:color="auto"/>
          </w:divBdr>
          <w:divsChild>
            <w:div w:id="364796806">
              <w:marLeft w:val="0"/>
              <w:marRight w:val="0"/>
              <w:marTop w:val="0"/>
              <w:marBottom w:val="0"/>
              <w:divBdr>
                <w:top w:val="none" w:sz="0" w:space="0" w:color="auto"/>
                <w:left w:val="none" w:sz="0" w:space="0" w:color="auto"/>
                <w:bottom w:val="none" w:sz="0" w:space="0" w:color="auto"/>
                <w:right w:val="none" w:sz="0" w:space="0" w:color="auto"/>
              </w:divBdr>
              <w:divsChild>
                <w:div w:id="12018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37219">
      <w:bodyDiv w:val="1"/>
      <w:marLeft w:val="0"/>
      <w:marRight w:val="0"/>
      <w:marTop w:val="0"/>
      <w:marBottom w:val="0"/>
      <w:divBdr>
        <w:top w:val="none" w:sz="0" w:space="0" w:color="auto"/>
        <w:left w:val="none" w:sz="0" w:space="0" w:color="auto"/>
        <w:bottom w:val="none" w:sz="0" w:space="0" w:color="auto"/>
        <w:right w:val="none" w:sz="0" w:space="0" w:color="auto"/>
      </w:divBdr>
    </w:div>
    <w:div w:id="102965136">
      <w:bodyDiv w:val="1"/>
      <w:marLeft w:val="0"/>
      <w:marRight w:val="0"/>
      <w:marTop w:val="0"/>
      <w:marBottom w:val="0"/>
      <w:divBdr>
        <w:top w:val="none" w:sz="0" w:space="0" w:color="auto"/>
        <w:left w:val="none" w:sz="0" w:space="0" w:color="auto"/>
        <w:bottom w:val="none" w:sz="0" w:space="0" w:color="auto"/>
        <w:right w:val="none" w:sz="0" w:space="0" w:color="auto"/>
      </w:divBdr>
    </w:div>
    <w:div w:id="113795950">
      <w:bodyDiv w:val="1"/>
      <w:marLeft w:val="0"/>
      <w:marRight w:val="0"/>
      <w:marTop w:val="0"/>
      <w:marBottom w:val="0"/>
      <w:divBdr>
        <w:top w:val="none" w:sz="0" w:space="0" w:color="auto"/>
        <w:left w:val="none" w:sz="0" w:space="0" w:color="auto"/>
        <w:bottom w:val="none" w:sz="0" w:space="0" w:color="auto"/>
        <w:right w:val="none" w:sz="0" w:space="0" w:color="auto"/>
      </w:divBdr>
      <w:divsChild>
        <w:div w:id="158157212">
          <w:marLeft w:val="0"/>
          <w:marRight w:val="0"/>
          <w:marTop w:val="0"/>
          <w:marBottom w:val="0"/>
          <w:divBdr>
            <w:top w:val="none" w:sz="0" w:space="0" w:color="auto"/>
            <w:left w:val="none" w:sz="0" w:space="0" w:color="auto"/>
            <w:bottom w:val="none" w:sz="0" w:space="0" w:color="auto"/>
            <w:right w:val="none" w:sz="0" w:space="0" w:color="auto"/>
          </w:divBdr>
          <w:divsChild>
            <w:div w:id="810438902">
              <w:marLeft w:val="0"/>
              <w:marRight w:val="0"/>
              <w:marTop w:val="0"/>
              <w:marBottom w:val="0"/>
              <w:divBdr>
                <w:top w:val="none" w:sz="0" w:space="0" w:color="auto"/>
                <w:left w:val="none" w:sz="0" w:space="0" w:color="auto"/>
                <w:bottom w:val="none" w:sz="0" w:space="0" w:color="auto"/>
                <w:right w:val="none" w:sz="0" w:space="0" w:color="auto"/>
              </w:divBdr>
              <w:divsChild>
                <w:div w:id="35712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0677">
      <w:bodyDiv w:val="1"/>
      <w:marLeft w:val="0"/>
      <w:marRight w:val="0"/>
      <w:marTop w:val="0"/>
      <w:marBottom w:val="0"/>
      <w:divBdr>
        <w:top w:val="none" w:sz="0" w:space="0" w:color="auto"/>
        <w:left w:val="none" w:sz="0" w:space="0" w:color="auto"/>
        <w:bottom w:val="none" w:sz="0" w:space="0" w:color="auto"/>
        <w:right w:val="none" w:sz="0" w:space="0" w:color="auto"/>
      </w:divBdr>
    </w:div>
    <w:div w:id="129595651">
      <w:bodyDiv w:val="1"/>
      <w:marLeft w:val="0"/>
      <w:marRight w:val="0"/>
      <w:marTop w:val="0"/>
      <w:marBottom w:val="0"/>
      <w:divBdr>
        <w:top w:val="none" w:sz="0" w:space="0" w:color="auto"/>
        <w:left w:val="none" w:sz="0" w:space="0" w:color="auto"/>
        <w:bottom w:val="none" w:sz="0" w:space="0" w:color="auto"/>
        <w:right w:val="none" w:sz="0" w:space="0" w:color="auto"/>
      </w:divBdr>
    </w:div>
    <w:div w:id="145367568">
      <w:bodyDiv w:val="1"/>
      <w:marLeft w:val="0"/>
      <w:marRight w:val="0"/>
      <w:marTop w:val="0"/>
      <w:marBottom w:val="0"/>
      <w:divBdr>
        <w:top w:val="none" w:sz="0" w:space="0" w:color="auto"/>
        <w:left w:val="none" w:sz="0" w:space="0" w:color="auto"/>
        <w:bottom w:val="none" w:sz="0" w:space="0" w:color="auto"/>
        <w:right w:val="none" w:sz="0" w:space="0" w:color="auto"/>
      </w:divBdr>
    </w:div>
    <w:div w:id="154686002">
      <w:bodyDiv w:val="1"/>
      <w:marLeft w:val="0"/>
      <w:marRight w:val="0"/>
      <w:marTop w:val="0"/>
      <w:marBottom w:val="0"/>
      <w:divBdr>
        <w:top w:val="none" w:sz="0" w:space="0" w:color="auto"/>
        <w:left w:val="none" w:sz="0" w:space="0" w:color="auto"/>
        <w:bottom w:val="none" w:sz="0" w:space="0" w:color="auto"/>
        <w:right w:val="none" w:sz="0" w:space="0" w:color="auto"/>
      </w:divBdr>
    </w:div>
    <w:div w:id="159005037">
      <w:bodyDiv w:val="1"/>
      <w:marLeft w:val="0"/>
      <w:marRight w:val="0"/>
      <w:marTop w:val="0"/>
      <w:marBottom w:val="0"/>
      <w:divBdr>
        <w:top w:val="none" w:sz="0" w:space="0" w:color="auto"/>
        <w:left w:val="none" w:sz="0" w:space="0" w:color="auto"/>
        <w:bottom w:val="none" w:sz="0" w:space="0" w:color="auto"/>
        <w:right w:val="none" w:sz="0" w:space="0" w:color="auto"/>
      </w:divBdr>
    </w:div>
    <w:div w:id="178933712">
      <w:bodyDiv w:val="1"/>
      <w:marLeft w:val="0"/>
      <w:marRight w:val="0"/>
      <w:marTop w:val="0"/>
      <w:marBottom w:val="0"/>
      <w:divBdr>
        <w:top w:val="none" w:sz="0" w:space="0" w:color="auto"/>
        <w:left w:val="none" w:sz="0" w:space="0" w:color="auto"/>
        <w:bottom w:val="none" w:sz="0" w:space="0" w:color="auto"/>
        <w:right w:val="none" w:sz="0" w:space="0" w:color="auto"/>
      </w:divBdr>
    </w:div>
    <w:div w:id="181557083">
      <w:bodyDiv w:val="1"/>
      <w:marLeft w:val="0"/>
      <w:marRight w:val="0"/>
      <w:marTop w:val="0"/>
      <w:marBottom w:val="0"/>
      <w:divBdr>
        <w:top w:val="none" w:sz="0" w:space="0" w:color="auto"/>
        <w:left w:val="none" w:sz="0" w:space="0" w:color="auto"/>
        <w:bottom w:val="none" w:sz="0" w:space="0" w:color="auto"/>
        <w:right w:val="none" w:sz="0" w:space="0" w:color="auto"/>
      </w:divBdr>
    </w:div>
    <w:div w:id="209073909">
      <w:bodyDiv w:val="1"/>
      <w:marLeft w:val="0"/>
      <w:marRight w:val="0"/>
      <w:marTop w:val="0"/>
      <w:marBottom w:val="0"/>
      <w:divBdr>
        <w:top w:val="none" w:sz="0" w:space="0" w:color="auto"/>
        <w:left w:val="none" w:sz="0" w:space="0" w:color="auto"/>
        <w:bottom w:val="none" w:sz="0" w:space="0" w:color="auto"/>
        <w:right w:val="none" w:sz="0" w:space="0" w:color="auto"/>
      </w:divBdr>
      <w:divsChild>
        <w:div w:id="1094977256">
          <w:marLeft w:val="0"/>
          <w:marRight w:val="0"/>
          <w:marTop w:val="0"/>
          <w:marBottom w:val="0"/>
          <w:divBdr>
            <w:top w:val="none" w:sz="0" w:space="0" w:color="auto"/>
            <w:left w:val="none" w:sz="0" w:space="0" w:color="auto"/>
            <w:bottom w:val="none" w:sz="0" w:space="0" w:color="auto"/>
            <w:right w:val="none" w:sz="0" w:space="0" w:color="auto"/>
          </w:divBdr>
          <w:divsChild>
            <w:div w:id="1109353400">
              <w:marLeft w:val="0"/>
              <w:marRight w:val="0"/>
              <w:marTop w:val="0"/>
              <w:marBottom w:val="0"/>
              <w:divBdr>
                <w:top w:val="none" w:sz="0" w:space="0" w:color="auto"/>
                <w:left w:val="none" w:sz="0" w:space="0" w:color="auto"/>
                <w:bottom w:val="none" w:sz="0" w:space="0" w:color="auto"/>
                <w:right w:val="none" w:sz="0" w:space="0" w:color="auto"/>
              </w:divBdr>
              <w:divsChild>
                <w:div w:id="117429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80282">
      <w:bodyDiv w:val="1"/>
      <w:marLeft w:val="0"/>
      <w:marRight w:val="0"/>
      <w:marTop w:val="0"/>
      <w:marBottom w:val="0"/>
      <w:divBdr>
        <w:top w:val="none" w:sz="0" w:space="0" w:color="auto"/>
        <w:left w:val="none" w:sz="0" w:space="0" w:color="auto"/>
        <w:bottom w:val="none" w:sz="0" w:space="0" w:color="auto"/>
        <w:right w:val="none" w:sz="0" w:space="0" w:color="auto"/>
      </w:divBdr>
    </w:div>
    <w:div w:id="225847625">
      <w:bodyDiv w:val="1"/>
      <w:marLeft w:val="0"/>
      <w:marRight w:val="0"/>
      <w:marTop w:val="0"/>
      <w:marBottom w:val="0"/>
      <w:divBdr>
        <w:top w:val="none" w:sz="0" w:space="0" w:color="auto"/>
        <w:left w:val="none" w:sz="0" w:space="0" w:color="auto"/>
        <w:bottom w:val="none" w:sz="0" w:space="0" w:color="auto"/>
        <w:right w:val="none" w:sz="0" w:space="0" w:color="auto"/>
      </w:divBdr>
    </w:div>
    <w:div w:id="229848328">
      <w:bodyDiv w:val="1"/>
      <w:marLeft w:val="0"/>
      <w:marRight w:val="0"/>
      <w:marTop w:val="0"/>
      <w:marBottom w:val="0"/>
      <w:divBdr>
        <w:top w:val="none" w:sz="0" w:space="0" w:color="auto"/>
        <w:left w:val="none" w:sz="0" w:space="0" w:color="auto"/>
        <w:bottom w:val="none" w:sz="0" w:space="0" w:color="auto"/>
        <w:right w:val="none" w:sz="0" w:space="0" w:color="auto"/>
      </w:divBdr>
    </w:div>
    <w:div w:id="247883529">
      <w:bodyDiv w:val="1"/>
      <w:marLeft w:val="0"/>
      <w:marRight w:val="0"/>
      <w:marTop w:val="0"/>
      <w:marBottom w:val="0"/>
      <w:divBdr>
        <w:top w:val="none" w:sz="0" w:space="0" w:color="auto"/>
        <w:left w:val="none" w:sz="0" w:space="0" w:color="auto"/>
        <w:bottom w:val="none" w:sz="0" w:space="0" w:color="auto"/>
        <w:right w:val="none" w:sz="0" w:space="0" w:color="auto"/>
      </w:divBdr>
    </w:div>
    <w:div w:id="271595613">
      <w:bodyDiv w:val="1"/>
      <w:marLeft w:val="0"/>
      <w:marRight w:val="0"/>
      <w:marTop w:val="0"/>
      <w:marBottom w:val="0"/>
      <w:divBdr>
        <w:top w:val="none" w:sz="0" w:space="0" w:color="auto"/>
        <w:left w:val="none" w:sz="0" w:space="0" w:color="auto"/>
        <w:bottom w:val="none" w:sz="0" w:space="0" w:color="auto"/>
        <w:right w:val="none" w:sz="0" w:space="0" w:color="auto"/>
      </w:divBdr>
    </w:div>
    <w:div w:id="285427363">
      <w:bodyDiv w:val="1"/>
      <w:marLeft w:val="0"/>
      <w:marRight w:val="0"/>
      <w:marTop w:val="0"/>
      <w:marBottom w:val="0"/>
      <w:divBdr>
        <w:top w:val="none" w:sz="0" w:space="0" w:color="auto"/>
        <w:left w:val="none" w:sz="0" w:space="0" w:color="auto"/>
        <w:bottom w:val="none" w:sz="0" w:space="0" w:color="auto"/>
        <w:right w:val="none" w:sz="0" w:space="0" w:color="auto"/>
      </w:divBdr>
    </w:div>
    <w:div w:id="301815684">
      <w:bodyDiv w:val="1"/>
      <w:marLeft w:val="0"/>
      <w:marRight w:val="0"/>
      <w:marTop w:val="0"/>
      <w:marBottom w:val="0"/>
      <w:divBdr>
        <w:top w:val="none" w:sz="0" w:space="0" w:color="auto"/>
        <w:left w:val="none" w:sz="0" w:space="0" w:color="auto"/>
        <w:bottom w:val="none" w:sz="0" w:space="0" w:color="auto"/>
        <w:right w:val="none" w:sz="0" w:space="0" w:color="auto"/>
      </w:divBdr>
    </w:div>
    <w:div w:id="310213888">
      <w:bodyDiv w:val="1"/>
      <w:marLeft w:val="0"/>
      <w:marRight w:val="0"/>
      <w:marTop w:val="0"/>
      <w:marBottom w:val="0"/>
      <w:divBdr>
        <w:top w:val="none" w:sz="0" w:space="0" w:color="auto"/>
        <w:left w:val="none" w:sz="0" w:space="0" w:color="auto"/>
        <w:bottom w:val="none" w:sz="0" w:space="0" w:color="auto"/>
        <w:right w:val="none" w:sz="0" w:space="0" w:color="auto"/>
      </w:divBdr>
      <w:divsChild>
        <w:div w:id="68355476">
          <w:marLeft w:val="0"/>
          <w:marRight w:val="0"/>
          <w:marTop w:val="0"/>
          <w:marBottom w:val="0"/>
          <w:divBdr>
            <w:top w:val="none" w:sz="0" w:space="0" w:color="auto"/>
            <w:left w:val="none" w:sz="0" w:space="0" w:color="auto"/>
            <w:bottom w:val="none" w:sz="0" w:space="0" w:color="auto"/>
            <w:right w:val="none" w:sz="0" w:space="0" w:color="auto"/>
          </w:divBdr>
          <w:divsChild>
            <w:div w:id="1681199696">
              <w:marLeft w:val="0"/>
              <w:marRight w:val="0"/>
              <w:marTop w:val="0"/>
              <w:marBottom w:val="0"/>
              <w:divBdr>
                <w:top w:val="none" w:sz="0" w:space="0" w:color="auto"/>
                <w:left w:val="none" w:sz="0" w:space="0" w:color="auto"/>
                <w:bottom w:val="none" w:sz="0" w:space="0" w:color="auto"/>
                <w:right w:val="none" w:sz="0" w:space="0" w:color="auto"/>
              </w:divBdr>
              <w:divsChild>
                <w:div w:id="153449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077893">
      <w:bodyDiv w:val="1"/>
      <w:marLeft w:val="0"/>
      <w:marRight w:val="0"/>
      <w:marTop w:val="0"/>
      <w:marBottom w:val="0"/>
      <w:divBdr>
        <w:top w:val="none" w:sz="0" w:space="0" w:color="auto"/>
        <w:left w:val="none" w:sz="0" w:space="0" w:color="auto"/>
        <w:bottom w:val="none" w:sz="0" w:space="0" w:color="auto"/>
        <w:right w:val="none" w:sz="0" w:space="0" w:color="auto"/>
      </w:divBdr>
    </w:div>
    <w:div w:id="320423750">
      <w:bodyDiv w:val="1"/>
      <w:marLeft w:val="0"/>
      <w:marRight w:val="0"/>
      <w:marTop w:val="0"/>
      <w:marBottom w:val="0"/>
      <w:divBdr>
        <w:top w:val="none" w:sz="0" w:space="0" w:color="auto"/>
        <w:left w:val="none" w:sz="0" w:space="0" w:color="auto"/>
        <w:bottom w:val="none" w:sz="0" w:space="0" w:color="auto"/>
        <w:right w:val="none" w:sz="0" w:space="0" w:color="auto"/>
      </w:divBdr>
      <w:divsChild>
        <w:div w:id="766468166">
          <w:marLeft w:val="0"/>
          <w:marRight w:val="0"/>
          <w:marTop w:val="0"/>
          <w:marBottom w:val="0"/>
          <w:divBdr>
            <w:top w:val="none" w:sz="0" w:space="0" w:color="auto"/>
            <w:left w:val="none" w:sz="0" w:space="0" w:color="auto"/>
            <w:bottom w:val="none" w:sz="0" w:space="0" w:color="auto"/>
            <w:right w:val="none" w:sz="0" w:space="0" w:color="auto"/>
          </w:divBdr>
        </w:div>
      </w:divsChild>
    </w:div>
    <w:div w:id="335622029">
      <w:bodyDiv w:val="1"/>
      <w:marLeft w:val="0"/>
      <w:marRight w:val="0"/>
      <w:marTop w:val="0"/>
      <w:marBottom w:val="0"/>
      <w:divBdr>
        <w:top w:val="none" w:sz="0" w:space="0" w:color="auto"/>
        <w:left w:val="none" w:sz="0" w:space="0" w:color="auto"/>
        <w:bottom w:val="none" w:sz="0" w:space="0" w:color="auto"/>
        <w:right w:val="none" w:sz="0" w:space="0" w:color="auto"/>
      </w:divBdr>
    </w:div>
    <w:div w:id="373817516">
      <w:bodyDiv w:val="1"/>
      <w:marLeft w:val="0"/>
      <w:marRight w:val="0"/>
      <w:marTop w:val="0"/>
      <w:marBottom w:val="0"/>
      <w:divBdr>
        <w:top w:val="none" w:sz="0" w:space="0" w:color="auto"/>
        <w:left w:val="none" w:sz="0" w:space="0" w:color="auto"/>
        <w:bottom w:val="none" w:sz="0" w:space="0" w:color="auto"/>
        <w:right w:val="none" w:sz="0" w:space="0" w:color="auto"/>
      </w:divBdr>
    </w:div>
    <w:div w:id="380986273">
      <w:bodyDiv w:val="1"/>
      <w:marLeft w:val="0"/>
      <w:marRight w:val="0"/>
      <w:marTop w:val="0"/>
      <w:marBottom w:val="0"/>
      <w:divBdr>
        <w:top w:val="none" w:sz="0" w:space="0" w:color="auto"/>
        <w:left w:val="none" w:sz="0" w:space="0" w:color="auto"/>
        <w:bottom w:val="none" w:sz="0" w:space="0" w:color="auto"/>
        <w:right w:val="none" w:sz="0" w:space="0" w:color="auto"/>
      </w:divBdr>
      <w:divsChild>
        <w:div w:id="1057894594">
          <w:marLeft w:val="0"/>
          <w:marRight w:val="0"/>
          <w:marTop w:val="0"/>
          <w:marBottom w:val="0"/>
          <w:divBdr>
            <w:top w:val="none" w:sz="0" w:space="0" w:color="auto"/>
            <w:left w:val="none" w:sz="0" w:space="0" w:color="auto"/>
            <w:bottom w:val="none" w:sz="0" w:space="0" w:color="auto"/>
            <w:right w:val="none" w:sz="0" w:space="0" w:color="auto"/>
          </w:divBdr>
          <w:divsChild>
            <w:div w:id="1837724031">
              <w:marLeft w:val="0"/>
              <w:marRight w:val="0"/>
              <w:marTop w:val="0"/>
              <w:marBottom w:val="0"/>
              <w:divBdr>
                <w:top w:val="none" w:sz="0" w:space="0" w:color="auto"/>
                <w:left w:val="none" w:sz="0" w:space="0" w:color="auto"/>
                <w:bottom w:val="none" w:sz="0" w:space="0" w:color="auto"/>
                <w:right w:val="none" w:sz="0" w:space="0" w:color="auto"/>
              </w:divBdr>
              <w:divsChild>
                <w:div w:id="173651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910443">
      <w:bodyDiv w:val="1"/>
      <w:marLeft w:val="0"/>
      <w:marRight w:val="0"/>
      <w:marTop w:val="0"/>
      <w:marBottom w:val="0"/>
      <w:divBdr>
        <w:top w:val="none" w:sz="0" w:space="0" w:color="auto"/>
        <w:left w:val="none" w:sz="0" w:space="0" w:color="auto"/>
        <w:bottom w:val="none" w:sz="0" w:space="0" w:color="auto"/>
        <w:right w:val="none" w:sz="0" w:space="0" w:color="auto"/>
      </w:divBdr>
    </w:div>
    <w:div w:id="395202846">
      <w:bodyDiv w:val="1"/>
      <w:marLeft w:val="0"/>
      <w:marRight w:val="0"/>
      <w:marTop w:val="0"/>
      <w:marBottom w:val="0"/>
      <w:divBdr>
        <w:top w:val="none" w:sz="0" w:space="0" w:color="auto"/>
        <w:left w:val="none" w:sz="0" w:space="0" w:color="auto"/>
        <w:bottom w:val="none" w:sz="0" w:space="0" w:color="auto"/>
        <w:right w:val="none" w:sz="0" w:space="0" w:color="auto"/>
      </w:divBdr>
    </w:div>
    <w:div w:id="444883240">
      <w:bodyDiv w:val="1"/>
      <w:marLeft w:val="0"/>
      <w:marRight w:val="0"/>
      <w:marTop w:val="0"/>
      <w:marBottom w:val="0"/>
      <w:divBdr>
        <w:top w:val="none" w:sz="0" w:space="0" w:color="auto"/>
        <w:left w:val="none" w:sz="0" w:space="0" w:color="auto"/>
        <w:bottom w:val="none" w:sz="0" w:space="0" w:color="auto"/>
        <w:right w:val="none" w:sz="0" w:space="0" w:color="auto"/>
      </w:divBdr>
    </w:div>
    <w:div w:id="450368505">
      <w:bodyDiv w:val="1"/>
      <w:marLeft w:val="0"/>
      <w:marRight w:val="0"/>
      <w:marTop w:val="0"/>
      <w:marBottom w:val="0"/>
      <w:divBdr>
        <w:top w:val="none" w:sz="0" w:space="0" w:color="auto"/>
        <w:left w:val="none" w:sz="0" w:space="0" w:color="auto"/>
        <w:bottom w:val="none" w:sz="0" w:space="0" w:color="auto"/>
        <w:right w:val="none" w:sz="0" w:space="0" w:color="auto"/>
      </w:divBdr>
    </w:div>
    <w:div w:id="450975572">
      <w:bodyDiv w:val="1"/>
      <w:marLeft w:val="0"/>
      <w:marRight w:val="0"/>
      <w:marTop w:val="0"/>
      <w:marBottom w:val="0"/>
      <w:divBdr>
        <w:top w:val="none" w:sz="0" w:space="0" w:color="auto"/>
        <w:left w:val="none" w:sz="0" w:space="0" w:color="auto"/>
        <w:bottom w:val="none" w:sz="0" w:space="0" w:color="auto"/>
        <w:right w:val="none" w:sz="0" w:space="0" w:color="auto"/>
      </w:divBdr>
    </w:div>
    <w:div w:id="473255180">
      <w:bodyDiv w:val="1"/>
      <w:marLeft w:val="0"/>
      <w:marRight w:val="0"/>
      <w:marTop w:val="0"/>
      <w:marBottom w:val="0"/>
      <w:divBdr>
        <w:top w:val="none" w:sz="0" w:space="0" w:color="auto"/>
        <w:left w:val="none" w:sz="0" w:space="0" w:color="auto"/>
        <w:bottom w:val="none" w:sz="0" w:space="0" w:color="auto"/>
        <w:right w:val="none" w:sz="0" w:space="0" w:color="auto"/>
      </w:divBdr>
    </w:div>
    <w:div w:id="475806714">
      <w:bodyDiv w:val="1"/>
      <w:marLeft w:val="0"/>
      <w:marRight w:val="0"/>
      <w:marTop w:val="0"/>
      <w:marBottom w:val="0"/>
      <w:divBdr>
        <w:top w:val="none" w:sz="0" w:space="0" w:color="auto"/>
        <w:left w:val="none" w:sz="0" w:space="0" w:color="auto"/>
        <w:bottom w:val="none" w:sz="0" w:space="0" w:color="auto"/>
        <w:right w:val="none" w:sz="0" w:space="0" w:color="auto"/>
      </w:divBdr>
      <w:divsChild>
        <w:div w:id="1714884216">
          <w:marLeft w:val="0"/>
          <w:marRight w:val="0"/>
          <w:marTop w:val="0"/>
          <w:marBottom w:val="0"/>
          <w:divBdr>
            <w:top w:val="none" w:sz="0" w:space="0" w:color="auto"/>
            <w:left w:val="none" w:sz="0" w:space="0" w:color="auto"/>
            <w:bottom w:val="none" w:sz="0" w:space="0" w:color="auto"/>
            <w:right w:val="none" w:sz="0" w:space="0" w:color="auto"/>
          </w:divBdr>
          <w:divsChild>
            <w:div w:id="12004167">
              <w:marLeft w:val="0"/>
              <w:marRight w:val="0"/>
              <w:marTop w:val="0"/>
              <w:marBottom w:val="0"/>
              <w:divBdr>
                <w:top w:val="none" w:sz="0" w:space="0" w:color="auto"/>
                <w:left w:val="none" w:sz="0" w:space="0" w:color="auto"/>
                <w:bottom w:val="none" w:sz="0" w:space="0" w:color="auto"/>
                <w:right w:val="none" w:sz="0" w:space="0" w:color="auto"/>
              </w:divBdr>
              <w:divsChild>
                <w:div w:id="157111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2496">
      <w:bodyDiv w:val="1"/>
      <w:marLeft w:val="0"/>
      <w:marRight w:val="0"/>
      <w:marTop w:val="0"/>
      <w:marBottom w:val="0"/>
      <w:divBdr>
        <w:top w:val="none" w:sz="0" w:space="0" w:color="auto"/>
        <w:left w:val="none" w:sz="0" w:space="0" w:color="auto"/>
        <w:bottom w:val="none" w:sz="0" w:space="0" w:color="auto"/>
        <w:right w:val="none" w:sz="0" w:space="0" w:color="auto"/>
      </w:divBdr>
      <w:divsChild>
        <w:div w:id="929509874">
          <w:marLeft w:val="0"/>
          <w:marRight w:val="0"/>
          <w:marTop w:val="0"/>
          <w:marBottom w:val="0"/>
          <w:divBdr>
            <w:top w:val="none" w:sz="0" w:space="0" w:color="auto"/>
            <w:left w:val="none" w:sz="0" w:space="0" w:color="auto"/>
            <w:bottom w:val="none" w:sz="0" w:space="0" w:color="auto"/>
            <w:right w:val="none" w:sz="0" w:space="0" w:color="auto"/>
          </w:divBdr>
          <w:divsChild>
            <w:div w:id="1059329677">
              <w:marLeft w:val="0"/>
              <w:marRight w:val="0"/>
              <w:marTop w:val="0"/>
              <w:marBottom w:val="0"/>
              <w:divBdr>
                <w:top w:val="none" w:sz="0" w:space="0" w:color="auto"/>
                <w:left w:val="none" w:sz="0" w:space="0" w:color="auto"/>
                <w:bottom w:val="none" w:sz="0" w:space="0" w:color="auto"/>
                <w:right w:val="none" w:sz="0" w:space="0" w:color="auto"/>
              </w:divBdr>
              <w:divsChild>
                <w:div w:id="12104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8470">
      <w:bodyDiv w:val="1"/>
      <w:marLeft w:val="0"/>
      <w:marRight w:val="0"/>
      <w:marTop w:val="0"/>
      <w:marBottom w:val="0"/>
      <w:divBdr>
        <w:top w:val="none" w:sz="0" w:space="0" w:color="auto"/>
        <w:left w:val="none" w:sz="0" w:space="0" w:color="auto"/>
        <w:bottom w:val="none" w:sz="0" w:space="0" w:color="auto"/>
        <w:right w:val="none" w:sz="0" w:space="0" w:color="auto"/>
      </w:divBdr>
    </w:div>
    <w:div w:id="504126673">
      <w:bodyDiv w:val="1"/>
      <w:marLeft w:val="0"/>
      <w:marRight w:val="0"/>
      <w:marTop w:val="0"/>
      <w:marBottom w:val="0"/>
      <w:divBdr>
        <w:top w:val="none" w:sz="0" w:space="0" w:color="auto"/>
        <w:left w:val="none" w:sz="0" w:space="0" w:color="auto"/>
        <w:bottom w:val="none" w:sz="0" w:space="0" w:color="auto"/>
        <w:right w:val="none" w:sz="0" w:space="0" w:color="auto"/>
      </w:divBdr>
    </w:div>
    <w:div w:id="512497256">
      <w:bodyDiv w:val="1"/>
      <w:marLeft w:val="0"/>
      <w:marRight w:val="0"/>
      <w:marTop w:val="0"/>
      <w:marBottom w:val="0"/>
      <w:divBdr>
        <w:top w:val="none" w:sz="0" w:space="0" w:color="auto"/>
        <w:left w:val="none" w:sz="0" w:space="0" w:color="auto"/>
        <w:bottom w:val="none" w:sz="0" w:space="0" w:color="auto"/>
        <w:right w:val="none" w:sz="0" w:space="0" w:color="auto"/>
      </w:divBdr>
      <w:divsChild>
        <w:div w:id="823817829">
          <w:marLeft w:val="0"/>
          <w:marRight w:val="0"/>
          <w:marTop w:val="0"/>
          <w:marBottom w:val="0"/>
          <w:divBdr>
            <w:top w:val="none" w:sz="0" w:space="0" w:color="auto"/>
            <w:left w:val="none" w:sz="0" w:space="0" w:color="auto"/>
            <w:bottom w:val="none" w:sz="0" w:space="0" w:color="auto"/>
            <w:right w:val="none" w:sz="0" w:space="0" w:color="auto"/>
          </w:divBdr>
          <w:divsChild>
            <w:div w:id="1501432290">
              <w:marLeft w:val="0"/>
              <w:marRight w:val="0"/>
              <w:marTop w:val="0"/>
              <w:marBottom w:val="0"/>
              <w:divBdr>
                <w:top w:val="none" w:sz="0" w:space="0" w:color="auto"/>
                <w:left w:val="none" w:sz="0" w:space="0" w:color="auto"/>
                <w:bottom w:val="none" w:sz="0" w:space="0" w:color="auto"/>
                <w:right w:val="none" w:sz="0" w:space="0" w:color="auto"/>
              </w:divBdr>
              <w:divsChild>
                <w:div w:id="68493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1967">
      <w:bodyDiv w:val="1"/>
      <w:marLeft w:val="0"/>
      <w:marRight w:val="0"/>
      <w:marTop w:val="0"/>
      <w:marBottom w:val="0"/>
      <w:divBdr>
        <w:top w:val="none" w:sz="0" w:space="0" w:color="auto"/>
        <w:left w:val="none" w:sz="0" w:space="0" w:color="auto"/>
        <w:bottom w:val="none" w:sz="0" w:space="0" w:color="auto"/>
        <w:right w:val="none" w:sz="0" w:space="0" w:color="auto"/>
      </w:divBdr>
    </w:div>
    <w:div w:id="524905156">
      <w:bodyDiv w:val="1"/>
      <w:marLeft w:val="0"/>
      <w:marRight w:val="0"/>
      <w:marTop w:val="0"/>
      <w:marBottom w:val="0"/>
      <w:divBdr>
        <w:top w:val="none" w:sz="0" w:space="0" w:color="auto"/>
        <w:left w:val="none" w:sz="0" w:space="0" w:color="auto"/>
        <w:bottom w:val="none" w:sz="0" w:space="0" w:color="auto"/>
        <w:right w:val="none" w:sz="0" w:space="0" w:color="auto"/>
      </w:divBdr>
    </w:div>
    <w:div w:id="534540726">
      <w:bodyDiv w:val="1"/>
      <w:marLeft w:val="0"/>
      <w:marRight w:val="0"/>
      <w:marTop w:val="0"/>
      <w:marBottom w:val="0"/>
      <w:divBdr>
        <w:top w:val="none" w:sz="0" w:space="0" w:color="auto"/>
        <w:left w:val="none" w:sz="0" w:space="0" w:color="auto"/>
        <w:bottom w:val="none" w:sz="0" w:space="0" w:color="auto"/>
        <w:right w:val="none" w:sz="0" w:space="0" w:color="auto"/>
      </w:divBdr>
      <w:divsChild>
        <w:div w:id="354116372">
          <w:marLeft w:val="0"/>
          <w:marRight w:val="0"/>
          <w:marTop w:val="0"/>
          <w:marBottom w:val="0"/>
          <w:divBdr>
            <w:top w:val="none" w:sz="0" w:space="0" w:color="auto"/>
            <w:left w:val="none" w:sz="0" w:space="0" w:color="auto"/>
            <w:bottom w:val="none" w:sz="0" w:space="0" w:color="auto"/>
            <w:right w:val="none" w:sz="0" w:space="0" w:color="auto"/>
          </w:divBdr>
          <w:divsChild>
            <w:div w:id="23361158">
              <w:marLeft w:val="0"/>
              <w:marRight w:val="0"/>
              <w:marTop w:val="0"/>
              <w:marBottom w:val="0"/>
              <w:divBdr>
                <w:top w:val="none" w:sz="0" w:space="0" w:color="auto"/>
                <w:left w:val="none" w:sz="0" w:space="0" w:color="auto"/>
                <w:bottom w:val="none" w:sz="0" w:space="0" w:color="auto"/>
                <w:right w:val="none" w:sz="0" w:space="0" w:color="auto"/>
              </w:divBdr>
              <w:divsChild>
                <w:div w:id="104787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95484">
      <w:bodyDiv w:val="1"/>
      <w:marLeft w:val="0"/>
      <w:marRight w:val="0"/>
      <w:marTop w:val="0"/>
      <w:marBottom w:val="0"/>
      <w:divBdr>
        <w:top w:val="none" w:sz="0" w:space="0" w:color="auto"/>
        <w:left w:val="none" w:sz="0" w:space="0" w:color="auto"/>
        <w:bottom w:val="none" w:sz="0" w:space="0" w:color="auto"/>
        <w:right w:val="none" w:sz="0" w:space="0" w:color="auto"/>
      </w:divBdr>
    </w:div>
    <w:div w:id="542182014">
      <w:bodyDiv w:val="1"/>
      <w:marLeft w:val="0"/>
      <w:marRight w:val="0"/>
      <w:marTop w:val="0"/>
      <w:marBottom w:val="0"/>
      <w:divBdr>
        <w:top w:val="none" w:sz="0" w:space="0" w:color="auto"/>
        <w:left w:val="none" w:sz="0" w:space="0" w:color="auto"/>
        <w:bottom w:val="none" w:sz="0" w:space="0" w:color="auto"/>
        <w:right w:val="none" w:sz="0" w:space="0" w:color="auto"/>
      </w:divBdr>
      <w:divsChild>
        <w:div w:id="324557939">
          <w:marLeft w:val="0"/>
          <w:marRight w:val="0"/>
          <w:marTop w:val="0"/>
          <w:marBottom w:val="0"/>
          <w:divBdr>
            <w:top w:val="none" w:sz="0" w:space="0" w:color="auto"/>
            <w:left w:val="none" w:sz="0" w:space="0" w:color="auto"/>
            <w:bottom w:val="none" w:sz="0" w:space="0" w:color="auto"/>
            <w:right w:val="none" w:sz="0" w:space="0" w:color="auto"/>
          </w:divBdr>
        </w:div>
        <w:div w:id="1450197538">
          <w:marLeft w:val="0"/>
          <w:marRight w:val="0"/>
          <w:marTop w:val="0"/>
          <w:marBottom w:val="0"/>
          <w:divBdr>
            <w:top w:val="none" w:sz="0" w:space="0" w:color="auto"/>
            <w:left w:val="none" w:sz="0" w:space="0" w:color="auto"/>
            <w:bottom w:val="none" w:sz="0" w:space="0" w:color="auto"/>
            <w:right w:val="none" w:sz="0" w:space="0" w:color="auto"/>
          </w:divBdr>
        </w:div>
      </w:divsChild>
    </w:div>
    <w:div w:id="552471030">
      <w:bodyDiv w:val="1"/>
      <w:marLeft w:val="0"/>
      <w:marRight w:val="0"/>
      <w:marTop w:val="0"/>
      <w:marBottom w:val="0"/>
      <w:divBdr>
        <w:top w:val="none" w:sz="0" w:space="0" w:color="auto"/>
        <w:left w:val="none" w:sz="0" w:space="0" w:color="auto"/>
        <w:bottom w:val="none" w:sz="0" w:space="0" w:color="auto"/>
        <w:right w:val="none" w:sz="0" w:space="0" w:color="auto"/>
      </w:divBdr>
    </w:div>
    <w:div w:id="559362109">
      <w:bodyDiv w:val="1"/>
      <w:marLeft w:val="0"/>
      <w:marRight w:val="0"/>
      <w:marTop w:val="0"/>
      <w:marBottom w:val="0"/>
      <w:divBdr>
        <w:top w:val="none" w:sz="0" w:space="0" w:color="auto"/>
        <w:left w:val="none" w:sz="0" w:space="0" w:color="auto"/>
        <w:bottom w:val="none" w:sz="0" w:space="0" w:color="auto"/>
        <w:right w:val="none" w:sz="0" w:space="0" w:color="auto"/>
      </w:divBdr>
      <w:divsChild>
        <w:div w:id="513879014">
          <w:marLeft w:val="0"/>
          <w:marRight w:val="0"/>
          <w:marTop w:val="0"/>
          <w:marBottom w:val="0"/>
          <w:divBdr>
            <w:top w:val="none" w:sz="0" w:space="0" w:color="auto"/>
            <w:left w:val="none" w:sz="0" w:space="0" w:color="auto"/>
            <w:bottom w:val="none" w:sz="0" w:space="0" w:color="auto"/>
            <w:right w:val="none" w:sz="0" w:space="0" w:color="auto"/>
          </w:divBdr>
          <w:divsChild>
            <w:div w:id="1606965035">
              <w:marLeft w:val="0"/>
              <w:marRight w:val="0"/>
              <w:marTop w:val="0"/>
              <w:marBottom w:val="0"/>
              <w:divBdr>
                <w:top w:val="none" w:sz="0" w:space="0" w:color="auto"/>
                <w:left w:val="none" w:sz="0" w:space="0" w:color="auto"/>
                <w:bottom w:val="none" w:sz="0" w:space="0" w:color="auto"/>
                <w:right w:val="none" w:sz="0" w:space="0" w:color="auto"/>
              </w:divBdr>
              <w:divsChild>
                <w:div w:id="136597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763279">
      <w:bodyDiv w:val="1"/>
      <w:marLeft w:val="0"/>
      <w:marRight w:val="0"/>
      <w:marTop w:val="0"/>
      <w:marBottom w:val="0"/>
      <w:divBdr>
        <w:top w:val="none" w:sz="0" w:space="0" w:color="auto"/>
        <w:left w:val="none" w:sz="0" w:space="0" w:color="auto"/>
        <w:bottom w:val="none" w:sz="0" w:space="0" w:color="auto"/>
        <w:right w:val="none" w:sz="0" w:space="0" w:color="auto"/>
      </w:divBdr>
    </w:div>
    <w:div w:id="588277157">
      <w:bodyDiv w:val="1"/>
      <w:marLeft w:val="0"/>
      <w:marRight w:val="0"/>
      <w:marTop w:val="0"/>
      <w:marBottom w:val="0"/>
      <w:divBdr>
        <w:top w:val="none" w:sz="0" w:space="0" w:color="auto"/>
        <w:left w:val="none" w:sz="0" w:space="0" w:color="auto"/>
        <w:bottom w:val="none" w:sz="0" w:space="0" w:color="auto"/>
        <w:right w:val="none" w:sz="0" w:space="0" w:color="auto"/>
      </w:divBdr>
    </w:div>
    <w:div w:id="599878291">
      <w:bodyDiv w:val="1"/>
      <w:marLeft w:val="0"/>
      <w:marRight w:val="0"/>
      <w:marTop w:val="0"/>
      <w:marBottom w:val="0"/>
      <w:divBdr>
        <w:top w:val="none" w:sz="0" w:space="0" w:color="auto"/>
        <w:left w:val="none" w:sz="0" w:space="0" w:color="auto"/>
        <w:bottom w:val="none" w:sz="0" w:space="0" w:color="auto"/>
        <w:right w:val="none" w:sz="0" w:space="0" w:color="auto"/>
      </w:divBdr>
    </w:div>
    <w:div w:id="602345464">
      <w:bodyDiv w:val="1"/>
      <w:marLeft w:val="0"/>
      <w:marRight w:val="0"/>
      <w:marTop w:val="0"/>
      <w:marBottom w:val="0"/>
      <w:divBdr>
        <w:top w:val="none" w:sz="0" w:space="0" w:color="auto"/>
        <w:left w:val="none" w:sz="0" w:space="0" w:color="auto"/>
        <w:bottom w:val="none" w:sz="0" w:space="0" w:color="auto"/>
        <w:right w:val="none" w:sz="0" w:space="0" w:color="auto"/>
      </w:divBdr>
      <w:divsChild>
        <w:div w:id="1671172952">
          <w:marLeft w:val="0"/>
          <w:marRight w:val="0"/>
          <w:marTop w:val="0"/>
          <w:marBottom w:val="0"/>
          <w:divBdr>
            <w:top w:val="none" w:sz="0" w:space="0" w:color="auto"/>
            <w:left w:val="none" w:sz="0" w:space="0" w:color="auto"/>
            <w:bottom w:val="none" w:sz="0" w:space="0" w:color="auto"/>
            <w:right w:val="none" w:sz="0" w:space="0" w:color="auto"/>
          </w:divBdr>
          <w:divsChild>
            <w:div w:id="1547716773">
              <w:marLeft w:val="0"/>
              <w:marRight w:val="0"/>
              <w:marTop w:val="0"/>
              <w:marBottom w:val="0"/>
              <w:divBdr>
                <w:top w:val="none" w:sz="0" w:space="0" w:color="auto"/>
                <w:left w:val="none" w:sz="0" w:space="0" w:color="auto"/>
                <w:bottom w:val="none" w:sz="0" w:space="0" w:color="auto"/>
                <w:right w:val="none" w:sz="0" w:space="0" w:color="auto"/>
              </w:divBdr>
            </w:div>
            <w:div w:id="1968464942">
              <w:marLeft w:val="0"/>
              <w:marRight w:val="0"/>
              <w:marTop w:val="0"/>
              <w:marBottom w:val="0"/>
              <w:divBdr>
                <w:top w:val="none" w:sz="0" w:space="0" w:color="auto"/>
                <w:left w:val="none" w:sz="0" w:space="0" w:color="auto"/>
                <w:bottom w:val="none" w:sz="0" w:space="0" w:color="auto"/>
                <w:right w:val="none" w:sz="0" w:space="0" w:color="auto"/>
              </w:divBdr>
            </w:div>
            <w:div w:id="1426808327">
              <w:marLeft w:val="0"/>
              <w:marRight w:val="0"/>
              <w:marTop w:val="0"/>
              <w:marBottom w:val="0"/>
              <w:divBdr>
                <w:top w:val="none" w:sz="0" w:space="0" w:color="auto"/>
                <w:left w:val="none" w:sz="0" w:space="0" w:color="auto"/>
                <w:bottom w:val="none" w:sz="0" w:space="0" w:color="auto"/>
                <w:right w:val="none" w:sz="0" w:space="0" w:color="auto"/>
              </w:divBdr>
            </w:div>
            <w:div w:id="1165243003">
              <w:marLeft w:val="0"/>
              <w:marRight w:val="0"/>
              <w:marTop w:val="0"/>
              <w:marBottom w:val="0"/>
              <w:divBdr>
                <w:top w:val="none" w:sz="0" w:space="0" w:color="auto"/>
                <w:left w:val="none" w:sz="0" w:space="0" w:color="auto"/>
                <w:bottom w:val="none" w:sz="0" w:space="0" w:color="auto"/>
                <w:right w:val="none" w:sz="0" w:space="0" w:color="auto"/>
              </w:divBdr>
            </w:div>
            <w:div w:id="677735465">
              <w:marLeft w:val="0"/>
              <w:marRight w:val="0"/>
              <w:marTop w:val="0"/>
              <w:marBottom w:val="0"/>
              <w:divBdr>
                <w:top w:val="none" w:sz="0" w:space="0" w:color="auto"/>
                <w:left w:val="none" w:sz="0" w:space="0" w:color="auto"/>
                <w:bottom w:val="none" w:sz="0" w:space="0" w:color="auto"/>
                <w:right w:val="none" w:sz="0" w:space="0" w:color="auto"/>
              </w:divBdr>
            </w:div>
            <w:div w:id="2046445220">
              <w:marLeft w:val="0"/>
              <w:marRight w:val="0"/>
              <w:marTop w:val="0"/>
              <w:marBottom w:val="0"/>
              <w:divBdr>
                <w:top w:val="none" w:sz="0" w:space="0" w:color="auto"/>
                <w:left w:val="none" w:sz="0" w:space="0" w:color="auto"/>
                <w:bottom w:val="none" w:sz="0" w:space="0" w:color="auto"/>
                <w:right w:val="none" w:sz="0" w:space="0" w:color="auto"/>
              </w:divBdr>
            </w:div>
            <w:div w:id="413207866">
              <w:marLeft w:val="0"/>
              <w:marRight w:val="0"/>
              <w:marTop w:val="0"/>
              <w:marBottom w:val="0"/>
              <w:divBdr>
                <w:top w:val="none" w:sz="0" w:space="0" w:color="auto"/>
                <w:left w:val="none" w:sz="0" w:space="0" w:color="auto"/>
                <w:bottom w:val="none" w:sz="0" w:space="0" w:color="auto"/>
                <w:right w:val="none" w:sz="0" w:space="0" w:color="auto"/>
              </w:divBdr>
            </w:div>
          </w:divsChild>
        </w:div>
        <w:div w:id="1332836031">
          <w:marLeft w:val="0"/>
          <w:marRight w:val="0"/>
          <w:marTop w:val="75"/>
          <w:marBottom w:val="225"/>
          <w:divBdr>
            <w:top w:val="none" w:sz="0" w:space="0" w:color="auto"/>
            <w:left w:val="none" w:sz="0" w:space="0" w:color="auto"/>
            <w:bottom w:val="none" w:sz="0" w:space="0" w:color="auto"/>
            <w:right w:val="none" w:sz="0" w:space="0" w:color="auto"/>
          </w:divBdr>
          <w:divsChild>
            <w:div w:id="1758861833">
              <w:marLeft w:val="0"/>
              <w:marRight w:val="0"/>
              <w:marTop w:val="0"/>
              <w:marBottom w:val="0"/>
              <w:divBdr>
                <w:top w:val="none" w:sz="0" w:space="0" w:color="auto"/>
                <w:left w:val="none" w:sz="0" w:space="0" w:color="auto"/>
                <w:bottom w:val="none" w:sz="0" w:space="0" w:color="auto"/>
                <w:right w:val="none" w:sz="0" w:space="0" w:color="auto"/>
              </w:divBdr>
              <w:divsChild>
                <w:div w:id="706226190">
                  <w:marLeft w:val="0"/>
                  <w:marRight w:val="0"/>
                  <w:marTop w:val="0"/>
                  <w:marBottom w:val="0"/>
                  <w:divBdr>
                    <w:top w:val="none" w:sz="0" w:space="0" w:color="auto"/>
                    <w:left w:val="none" w:sz="0" w:space="0" w:color="auto"/>
                    <w:bottom w:val="none" w:sz="0" w:space="0" w:color="auto"/>
                    <w:right w:val="none" w:sz="0" w:space="0" w:color="auto"/>
                  </w:divBdr>
                  <w:divsChild>
                    <w:div w:id="491063775">
                      <w:marLeft w:val="0"/>
                      <w:marRight w:val="0"/>
                      <w:marTop w:val="0"/>
                      <w:marBottom w:val="0"/>
                      <w:divBdr>
                        <w:top w:val="none" w:sz="0" w:space="0" w:color="auto"/>
                        <w:left w:val="none" w:sz="0" w:space="0" w:color="auto"/>
                        <w:bottom w:val="none" w:sz="0" w:space="0" w:color="auto"/>
                        <w:right w:val="none" w:sz="0" w:space="0" w:color="auto"/>
                      </w:divBdr>
                    </w:div>
                    <w:div w:id="735595186">
                      <w:marLeft w:val="195"/>
                      <w:marRight w:val="0"/>
                      <w:marTop w:val="0"/>
                      <w:marBottom w:val="0"/>
                      <w:divBdr>
                        <w:top w:val="none" w:sz="0" w:space="0" w:color="auto"/>
                        <w:left w:val="none" w:sz="0" w:space="0" w:color="auto"/>
                        <w:bottom w:val="none" w:sz="0" w:space="0" w:color="auto"/>
                        <w:right w:val="none" w:sz="0" w:space="0" w:color="auto"/>
                      </w:divBdr>
                    </w:div>
                  </w:divsChild>
                </w:div>
                <w:div w:id="231547279">
                  <w:marLeft w:val="0"/>
                  <w:marRight w:val="0"/>
                  <w:marTop w:val="0"/>
                  <w:marBottom w:val="0"/>
                  <w:divBdr>
                    <w:top w:val="none" w:sz="0" w:space="0" w:color="auto"/>
                    <w:left w:val="none" w:sz="0" w:space="0" w:color="auto"/>
                    <w:bottom w:val="none" w:sz="0" w:space="0" w:color="auto"/>
                    <w:right w:val="none" w:sz="0" w:space="0" w:color="auto"/>
                  </w:divBdr>
                  <w:divsChild>
                    <w:div w:id="1124008700">
                      <w:marLeft w:val="0"/>
                      <w:marRight w:val="0"/>
                      <w:marTop w:val="0"/>
                      <w:marBottom w:val="0"/>
                      <w:divBdr>
                        <w:top w:val="none" w:sz="0" w:space="0" w:color="auto"/>
                        <w:left w:val="none" w:sz="0" w:space="0" w:color="auto"/>
                        <w:bottom w:val="none" w:sz="0" w:space="0" w:color="auto"/>
                        <w:right w:val="none" w:sz="0" w:space="0" w:color="auto"/>
                      </w:divBdr>
                    </w:div>
                    <w:div w:id="2095006658">
                      <w:marLeft w:val="195"/>
                      <w:marRight w:val="0"/>
                      <w:marTop w:val="0"/>
                      <w:marBottom w:val="0"/>
                      <w:divBdr>
                        <w:top w:val="none" w:sz="0" w:space="0" w:color="auto"/>
                        <w:left w:val="none" w:sz="0" w:space="0" w:color="auto"/>
                        <w:bottom w:val="none" w:sz="0" w:space="0" w:color="auto"/>
                        <w:right w:val="none" w:sz="0" w:space="0" w:color="auto"/>
                      </w:divBdr>
                    </w:div>
                  </w:divsChild>
                </w:div>
                <w:div w:id="1849828035">
                  <w:marLeft w:val="0"/>
                  <w:marRight w:val="0"/>
                  <w:marTop w:val="0"/>
                  <w:marBottom w:val="0"/>
                  <w:divBdr>
                    <w:top w:val="none" w:sz="0" w:space="0" w:color="auto"/>
                    <w:left w:val="none" w:sz="0" w:space="0" w:color="auto"/>
                    <w:bottom w:val="none" w:sz="0" w:space="0" w:color="auto"/>
                    <w:right w:val="none" w:sz="0" w:space="0" w:color="auto"/>
                  </w:divBdr>
                  <w:divsChild>
                    <w:div w:id="199514010">
                      <w:marLeft w:val="0"/>
                      <w:marRight w:val="0"/>
                      <w:marTop w:val="0"/>
                      <w:marBottom w:val="0"/>
                      <w:divBdr>
                        <w:top w:val="none" w:sz="0" w:space="0" w:color="auto"/>
                        <w:left w:val="none" w:sz="0" w:space="0" w:color="auto"/>
                        <w:bottom w:val="none" w:sz="0" w:space="0" w:color="auto"/>
                        <w:right w:val="none" w:sz="0" w:space="0" w:color="auto"/>
                      </w:divBdr>
                    </w:div>
                    <w:div w:id="1060978685">
                      <w:marLeft w:val="195"/>
                      <w:marRight w:val="0"/>
                      <w:marTop w:val="0"/>
                      <w:marBottom w:val="0"/>
                      <w:divBdr>
                        <w:top w:val="none" w:sz="0" w:space="0" w:color="auto"/>
                        <w:left w:val="none" w:sz="0" w:space="0" w:color="auto"/>
                        <w:bottom w:val="none" w:sz="0" w:space="0" w:color="auto"/>
                        <w:right w:val="none" w:sz="0" w:space="0" w:color="auto"/>
                      </w:divBdr>
                    </w:div>
                  </w:divsChild>
                </w:div>
                <w:div w:id="1551263033">
                  <w:marLeft w:val="0"/>
                  <w:marRight w:val="0"/>
                  <w:marTop w:val="0"/>
                  <w:marBottom w:val="0"/>
                  <w:divBdr>
                    <w:top w:val="none" w:sz="0" w:space="0" w:color="auto"/>
                    <w:left w:val="none" w:sz="0" w:space="0" w:color="auto"/>
                    <w:bottom w:val="none" w:sz="0" w:space="0" w:color="auto"/>
                    <w:right w:val="none" w:sz="0" w:space="0" w:color="auto"/>
                  </w:divBdr>
                  <w:divsChild>
                    <w:div w:id="448664902">
                      <w:marLeft w:val="0"/>
                      <w:marRight w:val="0"/>
                      <w:marTop w:val="0"/>
                      <w:marBottom w:val="0"/>
                      <w:divBdr>
                        <w:top w:val="none" w:sz="0" w:space="0" w:color="auto"/>
                        <w:left w:val="none" w:sz="0" w:space="0" w:color="auto"/>
                        <w:bottom w:val="none" w:sz="0" w:space="0" w:color="auto"/>
                        <w:right w:val="none" w:sz="0" w:space="0" w:color="auto"/>
                      </w:divBdr>
                    </w:div>
                    <w:div w:id="808668815">
                      <w:marLeft w:val="195"/>
                      <w:marRight w:val="0"/>
                      <w:marTop w:val="0"/>
                      <w:marBottom w:val="0"/>
                      <w:divBdr>
                        <w:top w:val="none" w:sz="0" w:space="0" w:color="auto"/>
                        <w:left w:val="none" w:sz="0" w:space="0" w:color="auto"/>
                        <w:bottom w:val="none" w:sz="0" w:space="0" w:color="auto"/>
                        <w:right w:val="none" w:sz="0" w:space="0" w:color="auto"/>
                      </w:divBdr>
                    </w:div>
                  </w:divsChild>
                </w:div>
                <w:div w:id="1016346779">
                  <w:marLeft w:val="0"/>
                  <w:marRight w:val="0"/>
                  <w:marTop w:val="0"/>
                  <w:marBottom w:val="0"/>
                  <w:divBdr>
                    <w:top w:val="none" w:sz="0" w:space="0" w:color="auto"/>
                    <w:left w:val="none" w:sz="0" w:space="0" w:color="auto"/>
                    <w:bottom w:val="none" w:sz="0" w:space="0" w:color="auto"/>
                    <w:right w:val="none" w:sz="0" w:space="0" w:color="auto"/>
                  </w:divBdr>
                  <w:divsChild>
                    <w:div w:id="1379280989">
                      <w:marLeft w:val="0"/>
                      <w:marRight w:val="0"/>
                      <w:marTop w:val="0"/>
                      <w:marBottom w:val="0"/>
                      <w:divBdr>
                        <w:top w:val="none" w:sz="0" w:space="0" w:color="auto"/>
                        <w:left w:val="none" w:sz="0" w:space="0" w:color="auto"/>
                        <w:bottom w:val="none" w:sz="0" w:space="0" w:color="auto"/>
                        <w:right w:val="none" w:sz="0" w:space="0" w:color="auto"/>
                      </w:divBdr>
                    </w:div>
                    <w:div w:id="287395924">
                      <w:marLeft w:val="195"/>
                      <w:marRight w:val="0"/>
                      <w:marTop w:val="0"/>
                      <w:marBottom w:val="0"/>
                      <w:divBdr>
                        <w:top w:val="none" w:sz="0" w:space="0" w:color="auto"/>
                        <w:left w:val="none" w:sz="0" w:space="0" w:color="auto"/>
                        <w:bottom w:val="none" w:sz="0" w:space="0" w:color="auto"/>
                        <w:right w:val="none" w:sz="0" w:space="0" w:color="auto"/>
                      </w:divBdr>
                    </w:div>
                  </w:divsChild>
                </w:div>
                <w:div w:id="445076544">
                  <w:marLeft w:val="0"/>
                  <w:marRight w:val="0"/>
                  <w:marTop w:val="0"/>
                  <w:marBottom w:val="0"/>
                  <w:divBdr>
                    <w:top w:val="none" w:sz="0" w:space="0" w:color="auto"/>
                    <w:left w:val="none" w:sz="0" w:space="0" w:color="auto"/>
                    <w:bottom w:val="none" w:sz="0" w:space="0" w:color="auto"/>
                    <w:right w:val="none" w:sz="0" w:space="0" w:color="auto"/>
                  </w:divBdr>
                  <w:divsChild>
                    <w:div w:id="663627704">
                      <w:marLeft w:val="0"/>
                      <w:marRight w:val="0"/>
                      <w:marTop w:val="0"/>
                      <w:marBottom w:val="0"/>
                      <w:divBdr>
                        <w:top w:val="none" w:sz="0" w:space="0" w:color="auto"/>
                        <w:left w:val="none" w:sz="0" w:space="0" w:color="auto"/>
                        <w:bottom w:val="none" w:sz="0" w:space="0" w:color="auto"/>
                        <w:right w:val="none" w:sz="0" w:space="0" w:color="auto"/>
                      </w:divBdr>
                    </w:div>
                    <w:div w:id="1342388152">
                      <w:marLeft w:val="195"/>
                      <w:marRight w:val="0"/>
                      <w:marTop w:val="0"/>
                      <w:marBottom w:val="0"/>
                      <w:divBdr>
                        <w:top w:val="none" w:sz="0" w:space="0" w:color="auto"/>
                        <w:left w:val="none" w:sz="0" w:space="0" w:color="auto"/>
                        <w:bottom w:val="none" w:sz="0" w:space="0" w:color="auto"/>
                        <w:right w:val="none" w:sz="0" w:space="0" w:color="auto"/>
                      </w:divBdr>
                    </w:div>
                  </w:divsChild>
                </w:div>
                <w:div w:id="1566138583">
                  <w:marLeft w:val="0"/>
                  <w:marRight w:val="0"/>
                  <w:marTop w:val="0"/>
                  <w:marBottom w:val="0"/>
                  <w:divBdr>
                    <w:top w:val="none" w:sz="0" w:space="0" w:color="auto"/>
                    <w:left w:val="none" w:sz="0" w:space="0" w:color="auto"/>
                    <w:bottom w:val="none" w:sz="0" w:space="0" w:color="auto"/>
                    <w:right w:val="none" w:sz="0" w:space="0" w:color="auto"/>
                  </w:divBdr>
                  <w:divsChild>
                    <w:div w:id="1089043921">
                      <w:marLeft w:val="0"/>
                      <w:marRight w:val="0"/>
                      <w:marTop w:val="0"/>
                      <w:marBottom w:val="0"/>
                      <w:divBdr>
                        <w:top w:val="none" w:sz="0" w:space="0" w:color="auto"/>
                        <w:left w:val="none" w:sz="0" w:space="0" w:color="auto"/>
                        <w:bottom w:val="none" w:sz="0" w:space="0" w:color="auto"/>
                        <w:right w:val="none" w:sz="0" w:space="0" w:color="auto"/>
                      </w:divBdr>
                    </w:div>
                    <w:div w:id="1464695709">
                      <w:marLeft w:val="195"/>
                      <w:marRight w:val="0"/>
                      <w:marTop w:val="0"/>
                      <w:marBottom w:val="0"/>
                      <w:divBdr>
                        <w:top w:val="none" w:sz="0" w:space="0" w:color="auto"/>
                        <w:left w:val="none" w:sz="0" w:space="0" w:color="auto"/>
                        <w:bottom w:val="none" w:sz="0" w:space="0" w:color="auto"/>
                        <w:right w:val="none" w:sz="0" w:space="0" w:color="auto"/>
                      </w:divBdr>
                    </w:div>
                  </w:divsChild>
                </w:div>
                <w:div w:id="445275292">
                  <w:marLeft w:val="0"/>
                  <w:marRight w:val="0"/>
                  <w:marTop w:val="0"/>
                  <w:marBottom w:val="0"/>
                  <w:divBdr>
                    <w:top w:val="none" w:sz="0" w:space="0" w:color="auto"/>
                    <w:left w:val="none" w:sz="0" w:space="0" w:color="auto"/>
                    <w:bottom w:val="none" w:sz="0" w:space="0" w:color="auto"/>
                    <w:right w:val="none" w:sz="0" w:space="0" w:color="auto"/>
                  </w:divBdr>
                  <w:divsChild>
                    <w:div w:id="1250113311">
                      <w:marLeft w:val="0"/>
                      <w:marRight w:val="0"/>
                      <w:marTop w:val="0"/>
                      <w:marBottom w:val="0"/>
                      <w:divBdr>
                        <w:top w:val="none" w:sz="0" w:space="0" w:color="auto"/>
                        <w:left w:val="none" w:sz="0" w:space="0" w:color="auto"/>
                        <w:bottom w:val="none" w:sz="0" w:space="0" w:color="auto"/>
                        <w:right w:val="none" w:sz="0" w:space="0" w:color="auto"/>
                      </w:divBdr>
                    </w:div>
                    <w:div w:id="937448868">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369757">
      <w:bodyDiv w:val="1"/>
      <w:marLeft w:val="0"/>
      <w:marRight w:val="0"/>
      <w:marTop w:val="0"/>
      <w:marBottom w:val="0"/>
      <w:divBdr>
        <w:top w:val="none" w:sz="0" w:space="0" w:color="auto"/>
        <w:left w:val="none" w:sz="0" w:space="0" w:color="auto"/>
        <w:bottom w:val="none" w:sz="0" w:space="0" w:color="auto"/>
        <w:right w:val="none" w:sz="0" w:space="0" w:color="auto"/>
      </w:divBdr>
    </w:div>
    <w:div w:id="627249598">
      <w:bodyDiv w:val="1"/>
      <w:marLeft w:val="0"/>
      <w:marRight w:val="0"/>
      <w:marTop w:val="0"/>
      <w:marBottom w:val="0"/>
      <w:divBdr>
        <w:top w:val="none" w:sz="0" w:space="0" w:color="auto"/>
        <w:left w:val="none" w:sz="0" w:space="0" w:color="auto"/>
        <w:bottom w:val="none" w:sz="0" w:space="0" w:color="auto"/>
        <w:right w:val="none" w:sz="0" w:space="0" w:color="auto"/>
      </w:divBdr>
    </w:div>
    <w:div w:id="668556126">
      <w:bodyDiv w:val="1"/>
      <w:marLeft w:val="0"/>
      <w:marRight w:val="0"/>
      <w:marTop w:val="0"/>
      <w:marBottom w:val="0"/>
      <w:divBdr>
        <w:top w:val="none" w:sz="0" w:space="0" w:color="auto"/>
        <w:left w:val="none" w:sz="0" w:space="0" w:color="auto"/>
        <w:bottom w:val="none" w:sz="0" w:space="0" w:color="auto"/>
        <w:right w:val="none" w:sz="0" w:space="0" w:color="auto"/>
      </w:divBdr>
    </w:div>
    <w:div w:id="680359281">
      <w:bodyDiv w:val="1"/>
      <w:marLeft w:val="0"/>
      <w:marRight w:val="0"/>
      <w:marTop w:val="0"/>
      <w:marBottom w:val="0"/>
      <w:divBdr>
        <w:top w:val="none" w:sz="0" w:space="0" w:color="auto"/>
        <w:left w:val="none" w:sz="0" w:space="0" w:color="auto"/>
        <w:bottom w:val="none" w:sz="0" w:space="0" w:color="auto"/>
        <w:right w:val="none" w:sz="0" w:space="0" w:color="auto"/>
      </w:divBdr>
    </w:div>
    <w:div w:id="695037588">
      <w:bodyDiv w:val="1"/>
      <w:marLeft w:val="0"/>
      <w:marRight w:val="0"/>
      <w:marTop w:val="0"/>
      <w:marBottom w:val="0"/>
      <w:divBdr>
        <w:top w:val="none" w:sz="0" w:space="0" w:color="auto"/>
        <w:left w:val="none" w:sz="0" w:space="0" w:color="auto"/>
        <w:bottom w:val="none" w:sz="0" w:space="0" w:color="auto"/>
        <w:right w:val="none" w:sz="0" w:space="0" w:color="auto"/>
      </w:divBdr>
      <w:divsChild>
        <w:div w:id="913003790">
          <w:marLeft w:val="0"/>
          <w:marRight w:val="0"/>
          <w:marTop w:val="0"/>
          <w:marBottom w:val="0"/>
          <w:divBdr>
            <w:top w:val="none" w:sz="0" w:space="0" w:color="auto"/>
            <w:left w:val="none" w:sz="0" w:space="0" w:color="auto"/>
            <w:bottom w:val="none" w:sz="0" w:space="0" w:color="auto"/>
            <w:right w:val="none" w:sz="0" w:space="0" w:color="auto"/>
          </w:divBdr>
          <w:divsChild>
            <w:div w:id="1771273950">
              <w:marLeft w:val="0"/>
              <w:marRight w:val="0"/>
              <w:marTop w:val="0"/>
              <w:marBottom w:val="0"/>
              <w:divBdr>
                <w:top w:val="none" w:sz="0" w:space="0" w:color="auto"/>
                <w:left w:val="none" w:sz="0" w:space="0" w:color="auto"/>
                <w:bottom w:val="none" w:sz="0" w:space="0" w:color="auto"/>
                <w:right w:val="none" w:sz="0" w:space="0" w:color="auto"/>
              </w:divBdr>
              <w:divsChild>
                <w:div w:id="860902332">
                  <w:marLeft w:val="0"/>
                  <w:marRight w:val="0"/>
                  <w:marTop w:val="0"/>
                  <w:marBottom w:val="0"/>
                  <w:divBdr>
                    <w:top w:val="none" w:sz="0" w:space="0" w:color="auto"/>
                    <w:left w:val="none" w:sz="0" w:space="0" w:color="auto"/>
                    <w:bottom w:val="none" w:sz="0" w:space="0" w:color="auto"/>
                    <w:right w:val="none" w:sz="0" w:space="0" w:color="auto"/>
                  </w:divBdr>
                </w:div>
              </w:divsChild>
            </w:div>
            <w:div w:id="2125538958">
              <w:marLeft w:val="0"/>
              <w:marRight w:val="0"/>
              <w:marTop w:val="0"/>
              <w:marBottom w:val="0"/>
              <w:divBdr>
                <w:top w:val="none" w:sz="0" w:space="0" w:color="auto"/>
                <w:left w:val="none" w:sz="0" w:space="0" w:color="auto"/>
                <w:bottom w:val="none" w:sz="0" w:space="0" w:color="auto"/>
                <w:right w:val="none" w:sz="0" w:space="0" w:color="auto"/>
              </w:divBdr>
              <w:divsChild>
                <w:div w:id="89694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299952">
      <w:bodyDiv w:val="1"/>
      <w:marLeft w:val="0"/>
      <w:marRight w:val="0"/>
      <w:marTop w:val="0"/>
      <w:marBottom w:val="0"/>
      <w:divBdr>
        <w:top w:val="none" w:sz="0" w:space="0" w:color="auto"/>
        <w:left w:val="none" w:sz="0" w:space="0" w:color="auto"/>
        <w:bottom w:val="none" w:sz="0" w:space="0" w:color="auto"/>
        <w:right w:val="none" w:sz="0" w:space="0" w:color="auto"/>
      </w:divBdr>
    </w:div>
    <w:div w:id="724376888">
      <w:bodyDiv w:val="1"/>
      <w:marLeft w:val="0"/>
      <w:marRight w:val="0"/>
      <w:marTop w:val="0"/>
      <w:marBottom w:val="0"/>
      <w:divBdr>
        <w:top w:val="none" w:sz="0" w:space="0" w:color="auto"/>
        <w:left w:val="none" w:sz="0" w:space="0" w:color="auto"/>
        <w:bottom w:val="none" w:sz="0" w:space="0" w:color="auto"/>
        <w:right w:val="none" w:sz="0" w:space="0" w:color="auto"/>
      </w:divBdr>
      <w:divsChild>
        <w:div w:id="1965111316">
          <w:marLeft w:val="0"/>
          <w:marRight w:val="0"/>
          <w:marTop w:val="0"/>
          <w:marBottom w:val="0"/>
          <w:divBdr>
            <w:top w:val="none" w:sz="0" w:space="0" w:color="auto"/>
            <w:left w:val="none" w:sz="0" w:space="0" w:color="auto"/>
            <w:bottom w:val="none" w:sz="0" w:space="0" w:color="auto"/>
            <w:right w:val="none" w:sz="0" w:space="0" w:color="auto"/>
          </w:divBdr>
          <w:divsChild>
            <w:div w:id="45419650">
              <w:marLeft w:val="0"/>
              <w:marRight w:val="0"/>
              <w:marTop w:val="0"/>
              <w:marBottom w:val="0"/>
              <w:divBdr>
                <w:top w:val="none" w:sz="0" w:space="0" w:color="auto"/>
                <w:left w:val="none" w:sz="0" w:space="0" w:color="auto"/>
                <w:bottom w:val="none" w:sz="0" w:space="0" w:color="auto"/>
                <w:right w:val="none" w:sz="0" w:space="0" w:color="auto"/>
              </w:divBdr>
              <w:divsChild>
                <w:div w:id="1508057370">
                  <w:marLeft w:val="0"/>
                  <w:marRight w:val="0"/>
                  <w:marTop w:val="0"/>
                  <w:marBottom w:val="600"/>
                  <w:divBdr>
                    <w:top w:val="none" w:sz="0" w:space="0" w:color="auto"/>
                    <w:left w:val="none" w:sz="0" w:space="0" w:color="auto"/>
                    <w:bottom w:val="none" w:sz="0" w:space="0" w:color="auto"/>
                    <w:right w:val="none" w:sz="0" w:space="0" w:color="auto"/>
                  </w:divBdr>
                </w:div>
              </w:divsChild>
            </w:div>
            <w:div w:id="100342367">
              <w:marLeft w:val="0"/>
              <w:marRight w:val="0"/>
              <w:marTop w:val="0"/>
              <w:marBottom w:val="0"/>
              <w:divBdr>
                <w:top w:val="none" w:sz="0" w:space="0" w:color="auto"/>
                <w:left w:val="none" w:sz="0" w:space="0" w:color="auto"/>
                <w:bottom w:val="none" w:sz="0" w:space="0" w:color="auto"/>
                <w:right w:val="none" w:sz="0" w:space="0" w:color="auto"/>
              </w:divBdr>
              <w:divsChild>
                <w:div w:id="1907715350">
                  <w:marLeft w:val="0"/>
                  <w:marRight w:val="0"/>
                  <w:marTop w:val="0"/>
                  <w:marBottom w:val="600"/>
                  <w:divBdr>
                    <w:top w:val="none" w:sz="0" w:space="0" w:color="auto"/>
                    <w:left w:val="none" w:sz="0" w:space="0" w:color="auto"/>
                    <w:bottom w:val="none" w:sz="0" w:space="0" w:color="auto"/>
                    <w:right w:val="none" w:sz="0" w:space="0" w:color="auto"/>
                  </w:divBdr>
                  <w:divsChild>
                    <w:div w:id="1278104301">
                      <w:marLeft w:val="0"/>
                      <w:marRight w:val="0"/>
                      <w:marTop w:val="0"/>
                      <w:marBottom w:val="0"/>
                      <w:divBdr>
                        <w:top w:val="none" w:sz="0" w:space="0" w:color="auto"/>
                        <w:left w:val="none" w:sz="0" w:space="0" w:color="auto"/>
                        <w:bottom w:val="none" w:sz="0" w:space="0" w:color="auto"/>
                        <w:right w:val="none" w:sz="0" w:space="0" w:color="auto"/>
                      </w:divBdr>
                      <w:divsChild>
                        <w:div w:id="237138160">
                          <w:marLeft w:val="0"/>
                          <w:marRight w:val="0"/>
                          <w:marTop w:val="0"/>
                          <w:marBottom w:val="360"/>
                          <w:divBdr>
                            <w:top w:val="none" w:sz="0" w:space="0" w:color="auto"/>
                            <w:left w:val="none" w:sz="0" w:space="0" w:color="auto"/>
                            <w:bottom w:val="none" w:sz="0" w:space="0" w:color="auto"/>
                            <w:right w:val="none" w:sz="0" w:space="0" w:color="auto"/>
                          </w:divBdr>
                        </w:div>
                        <w:div w:id="134605617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 w:id="115951770">
              <w:marLeft w:val="0"/>
              <w:marRight w:val="0"/>
              <w:marTop w:val="0"/>
              <w:marBottom w:val="0"/>
              <w:divBdr>
                <w:top w:val="none" w:sz="0" w:space="0" w:color="auto"/>
                <w:left w:val="none" w:sz="0" w:space="0" w:color="auto"/>
                <w:bottom w:val="none" w:sz="0" w:space="0" w:color="auto"/>
                <w:right w:val="none" w:sz="0" w:space="0" w:color="auto"/>
              </w:divBdr>
              <w:divsChild>
                <w:div w:id="1659114287">
                  <w:marLeft w:val="0"/>
                  <w:marRight w:val="0"/>
                  <w:marTop w:val="0"/>
                  <w:marBottom w:val="600"/>
                  <w:divBdr>
                    <w:top w:val="none" w:sz="0" w:space="0" w:color="auto"/>
                    <w:left w:val="none" w:sz="0" w:space="0" w:color="auto"/>
                    <w:bottom w:val="none" w:sz="0" w:space="0" w:color="auto"/>
                    <w:right w:val="none" w:sz="0" w:space="0" w:color="auto"/>
                  </w:divBdr>
                  <w:divsChild>
                    <w:div w:id="557859837">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745879748">
                          <w:marLeft w:val="0"/>
                          <w:marRight w:val="0"/>
                          <w:marTop w:val="0"/>
                          <w:marBottom w:val="240"/>
                          <w:divBdr>
                            <w:top w:val="none" w:sz="0" w:space="0" w:color="auto"/>
                            <w:left w:val="none" w:sz="0" w:space="0" w:color="auto"/>
                            <w:bottom w:val="none" w:sz="0" w:space="0" w:color="auto"/>
                            <w:right w:val="none" w:sz="0" w:space="0" w:color="auto"/>
                          </w:divBdr>
                          <w:divsChild>
                            <w:div w:id="123236402">
                              <w:marLeft w:val="0"/>
                              <w:marRight w:val="0"/>
                              <w:marTop w:val="0"/>
                              <w:marBottom w:val="0"/>
                              <w:divBdr>
                                <w:top w:val="none" w:sz="0" w:space="0" w:color="auto"/>
                                <w:left w:val="none" w:sz="0" w:space="0" w:color="auto"/>
                                <w:bottom w:val="none" w:sz="0" w:space="0" w:color="auto"/>
                                <w:right w:val="none" w:sz="0" w:space="0" w:color="auto"/>
                              </w:divBdr>
                            </w:div>
                            <w:div w:id="152420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422657">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775834120">
                          <w:marLeft w:val="0"/>
                          <w:marRight w:val="0"/>
                          <w:marTop w:val="0"/>
                          <w:marBottom w:val="240"/>
                          <w:divBdr>
                            <w:top w:val="none" w:sz="0" w:space="0" w:color="auto"/>
                            <w:left w:val="none" w:sz="0" w:space="0" w:color="auto"/>
                            <w:bottom w:val="none" w:sz="0" w:space="0" w:color="auto"/>
                            <w:right w:val="none" w:sz="0" w:space="0" w:color="auto"/>
                          </w:divBdr>
                          <w:divsChild>
                            <w:div w:id="261106482">
                              <w:marLeft w:val="0"/>
                              <w:marRight w:val="0"/>
                              <w:marTop w:val="0"/>
                              <w:marBottom w:val="0"/>
                              <w:divBdr>
                                <w:top w:val="none" w:sz="0" w:space="0" w:color="auto"/>
                                <w:left w:val="none" w:sz="0" w:space="0" w:color="auto"/>
                                <w:bottom w:val="none" w:sz="0" w:space="0" w:color="auto"/>
                                <w:right w:val="none" w:sz="0" w:space="0" w:color="auto"/>
                              </w:divBdr>
                            </w:div>
                            <w:div w:id="196693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56341">
                      <w:marLeft w:val="0"/>
                      <w:marRight w:val="0"/>
                      <w:marTop w:val="0"/>
                      <w:marBottom w:val="360"/>
                      <w:divBdr>
                        <w:top w:val="single" w:sz="12" w:space="15" w:color="D5D5D5"/>
                        <w:left w:val="single" w:sz="12" w:space="8" w:color="D5D5D5"/>
                        <w:bottom w:val="single" w:sz="12" w:space="15" w:color="D5D5D5"/>
                        <w:right w:val="single" w:sz="12" w:space="8" w:color="D5D5D5"/>
                      </w:divBdr>
                    </w:div>
                  </w:divsChild>
                </w:div>
              </w:divsChild>
            </w:div>
            <w:div w:id="496042790">
              <w:marLeft w:val="0"/>
              <w:marRight w:val="0"/>
              <w:marTop w:val="0"/>
              <w:marBottom w:val="0"/>
              <w:divBdr>
                <w:top w:val="none" w:sz="0" w:space="0" w:color="auto"/>
                <w:left w:val="none" w:sz="0" w:space="0" w:color="auto"/>
                <w:bottom w:val="none" w:sz="0" w:space="0" w:color="auto"/>
                <w:right w:val="none" w:sz="0" w:space="0" w:color="auto"/>
              </w:divBdr>
              <w:divsChild>
                <w:div w:id="352540021">
                  <w:marLeft w:val="0"/>
                  <w:marRight w:val="0"/>
                  <w:marTop w:val="0"/>
                  <w:marBottom w:val="600"/>
                  <w:divBdr>
                    <w:top w:val="none" w:sz="0" w:space="0" w:color="auto"/>
                    <w:left w:val="none" w:sz="0" w:space="0" w:color="auto"/>
                    <w:bottom w:val="none" w:sz="0" w:space="0" w:color="auto"/>
                    <w:right w:val="none" w:sz="0" w:space="0" w:color="auto"/>
                  </w:divBdr>
                </w:div>
              </w:divsChild>
            </w:div>
            <w:div w:id="549346264">
              <w:marLeft w:val="0"/>
              <w:marRight w:val="0"/>
              <w:marTop w:val="0"/>
              <w:marBottom w:val="0"/>
              <w:divBdr>
                <w:top w:val="none" w:sz="0" w:space="0" w:color="auto"/>
                <w:left w:val="none" w:sz="0" w:space="0" w:color="auto"/>
                <w:bottom w:val="none" w:sz="0" w:space="0" w:color="auto"/>
                <w:right w:val="none" w:sz="0" w:space="0" w:color="auto"/>
              </w:divBdr>
              <w:divsChild>
                <w:div w:id="2022120411">
                  <w:marLeft w:val="0"/>
                  <w:marRight w:val="0"/>
                  <w:marTop w:val="0"/>
                  <w:marBottom w:val="600"/>
                  <w:divBdr>
                    <w:top w:val="none" w:sz="0" w:space="0" w:color="auto"/>
                    <w:left w:val="none" w:sz="0" w:space="0" w:color="auto"/>
                    <w:bottom w:val="none" w:sz="0" w:space="0" w:color="auto"/>
                    <w:right w:val="none" w:sz="0" w:space="0" w:color="auto"/>
                  </w:divBdr>
                  <w:divsChild>
                    <w:div w:id="924146097">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36999438">
                          <w:marLeft w:val="0"/>
                          <w:marRight w:val="0"/>
                          <w:marTop w:val="0"/>
                          <w:marBottom w:val="240"/>
                          <w:divBdr>
                            <w:top w:val="none" w:sz="0" w:space="0" w:color="auto"/>
                            <w:left w:val="none" w:sz="0" w:space="0" w:color="auto"/>
                            <w:bottom w:val="none" w:sz="0" w:space="0" w:color="auto"/>
                            <w:right w:val="none" w:sz="0" w:space="0" w:color="auto"/>
                          </w:divBdr>
                          <w:divsChild>
                            <w:div w:id="83690573">
                              <w:marLeft w:val="0"/>
                              <w:marRight w:val="0"/>
                              <w:marTop w:val="0"/>
                              <w:marBottom w:val="0"/>
                              <w:divBdr>
                                <w:top w:val="none" w:sz="0" w:space="0" w:color="auto"/>
                                <w:left w:val="none" w:sz="0" w:space="0" w:color="auto"/>
                                <w:bottom w:val="none" w:sz="0" w:space="0" w:color="auto"/>
                                <w:right w:val="none" w:sz="0" w:space="0" w:color="auto"/>
                              </w:divBdr>
                            </w:div>
                            <w:div w:id="204382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892170">
              <w:marLeft w:val="0"/>
              <w:marRight w:val="0"/>
              <w:marTop w:val="0"/>
              <w:marBottom w:val="0"/>
              <w:divBdr>
                <w:top w:val="none" w:sz="0" w:space="0" w:color="auto"/>
                <w:left w:val="none" w:sz="0" w:space="0" w:color="auto"/>
                <w:bottom w:val="none" w:sz="0" w:space="0" w:color="auto"/>
                <w:right w:val="none" w:sz="0" w:space="0" w:color="auto"/>
              </w:divBdr>
              <w:divsChild>
                <w:div w:id="1635910901">
                  <w:marLeft w:val="0"/>
                  <w:marRight w:val="0"/>
                  <w:marTop w:val="0"/>
                  <w:marBottom w:val="0"/>
                  <w:divBdr>
                    <w:top w:val="none" w:sz="0" w:space="0" w:color="auto"/>
                    <w:left w:val="none" w:sz="0" w:space="0" w:color="auto"/>
                    <w:bottom w:val="none" w:sz="0" w:space="0" w:color="auto"/>
                    <w:right w:val="none" w:sz="0" w:space="0" w:color="auto"/>
                  </w:divBdr>
                  <w:divsChild>
                    <w:div w:id="1181241162">
                      <w:marLeft w:val="0"/>
                      <w:marRight w:val="0"/>
                      <w:marTop w:val="0"/>
                      <w:marBottom w:val="600"/>
                      <w:divBdr>
                        <w:top w:val="none" w:sz="0" w:space="0" w:color="auto"/>
                        <w:left w:val="none" w:sz="0" w:space="0" w:color="auto"/>
                        <w:bottom w:val="none" w:sz="0" w:space="0" w:color="auto"/>
                        <w:right w:val="none" w:sz="0" w:space="0" w:color="auto"/>
                      </w:divBdr>
                      <w:divsChild>
                        <w:div w:id="118648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002952">
              <w:marLeft w:val="0"/>
              <w:marRight w:val="0"/>
              <w:marTop w:val="0"/>
              <w:marBottom w:val="0"/>
              <w:divBdr>
                <w:top w:val="none" w:sz="0" w:space="0" w:color="auto"/>
                <w:left w:val="none" w:sz="0" w:space="0" w:color="auto"/>
                <w:bottom w:val="none" w:sz="0" w:space="0" w:color="auto"/>
                <w:right w:val="none" w:sz="0" w:space="0" w:color="auto"/>
              </w:divBdr>
              <w:divsChild>
                <w:div w:id="974606263">
                  <w:marLeft w:val="0"/>
                  <w:marRight w:val="0"/>
                  <w:marTop w:val="0"/>
                  <w:marBottom w:val="600"/>
                  <w:divBdr>
                    <w:top w:val="none" w:sz="0" w:space="0" w:color="auto"/>
                    <w:left w:val="none" w:sz="0" w:space="0" w:color="auto"/>
                    <w:bottom w:val="none" w:sz="0" w:space="0" w:color="auto"/>
                    <w:right w:val="none" w:sz="0" w:space="0" w:color="auto"/>
                  </w:divBdr>
                </w:div>
              </w:divsChild>
            </w:div>
            <w:div w:id="882988114">
              <w:marLeft w:val="0"/>
              <w:marRight w:val="0"/>
              <w:marTop w:val="0"/>
              <w:marBottom w:val="0"/>
              <w:divBdr>
                <w:top w:val="none" w:sz="0" w:space="0" w:color="auto"/>
                <w:left w:val="none" w:sz="0" w:space="0" w:color="auto"/>
                <w:bottom w:val="none" w:sz="0" w:space="0" w:color="auto"/>
                <w:right w:val="none" w:sz="0" w:space="0" w:color="auto"/>
              </w:divBdr>
              <w:divsChild>
                <w:div w:id="1486318824">
                  <w:marLeft w:val="0"/>
                  <w:marRight w:val="0"/>
                  <w:marTop w:val="0"/>
                  <w:marBottom w:val="600"/>
                  <w:divBdr>
                    <w:top w:val="none" w:sz="0" w:space="0" w:color="auto"/>
                    <w:left w:val="none" w:sz="0" w:space="0" w:color="auto"/>
                    <w:bottom w:val="none" w:sz="0" w:space="0" w:color="auto"/>
                    <w:right w:val="none" w:sz="0" w:space="0" w:color="auto"/>
                  </w:divBdr>
                  <w:divsChild>
                    <w:div w:id="37240862">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542326398">
                          <w:marLeft w:val="0"/>
                          <w:marRight w:val="0"/>
                          <w:marTop w:val="0"/>
                          <w:marBottom w:val="240"/>
                          <w:divBdr>
                            <w:top w:val="none" w:sz="0" w:space="0" w:color="auto"/>
                            <w:left w:val="none" w:sz="0" w:space="0" w:color="auto"/>
                            <w:bottom w:val="none" w:sz="0" w:space="0" w:color="auto"/>
                            <w:right w:val="none" w:sz="0" w:space="0" w:color="auto"/>
                          </w:divBdr>
                          <w:divsChild>
                            <w:div w:id="509028279">
                              <w:marLeft w:val="0"/>
                              <w:marRight w:val="0"/>
                              <w:marTop w:val="0"/>
                              <w:marBottom w:val="0"/>
                              <w:divBdr>
                                <w:top w:val="none" w:sz="0" w:space="0" w:color="auto"/>
                                <w:left w:val="none" w:sz="0" w:space="0" w:color="auto"/>
                                <w:bottom w:val="none" w:sz="0" w:space="0" w:color="auto"/>
                                <w:right w:val="none" w:sz="0" w:space="0" w:color="auto"/>
                              </w:divBdr>
                            </w:div>
                            <w:div w:id="95625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751">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395709628">
                          <w:marLeft w:val="0"/>
                          <w:marRight w:val="0"/>
                          <w:marTop w:val="0"/>
                          <w:marBottom w:val="240"/>
                          <w:divBdr>
                            <w:top w:val="none" w:sz="0" w:space="0" w:color="auto"/>
                            <w:left w:val="none" w:sz="0" w:space="0" w:color="auto"/>
                            <w:bottom w:val="none" w:sz="0" w:space="0" w:color="auto"/>
                            <w:right w:val="none" w:sz="0" w:space="0" w:color="auto"/>
                          </w:divBdr>
                          <w:divsChild>
                            <w:div w:id="130095780">
                              <w:marLeft w:val="0"/>
                              <w:marRight w:val="0"/>
                              <w:marTop w:val="0"/>
                              <w:marBottom w:val="0"/>
                              <w:divBdr>
                                <w:top w:val="none" w:sz="0" w:space="0" w:color="auto"/>
                                <w:left w:val="none" w:sz="0" w:space="0" w:color="auto"/>
                                <w:bottom w:val="none" w:sz="0" w:space="0" w:color="auto"/>
                                <w:right w:val="none" w:sz="0" w:space="0" w:color="auto"/>
                              </w:divBdr>
                            </w:div>
                            <w:div w:id="64516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4140">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3457554">
                          <w:marLeft w:val="0"/>
                          <w:marRight w:val="0"/>
                          <w:marTop w:val="0"/>
                          <w:marBottom w:val="240"/>
                          <w:divBdr>
                            <w:top w:val="none" w:sz="0" w:space="0" w:color="auto"/>
                            <w:left w:val="none" w:sz="0" w:space="0" w:color="auto"/>
                            <w:bottom w:val="none" w:sz="0" w:space="0" w:color="auto"/>
                            <w:right w:val="none" w:sz="0" w:space="0" w:color="auto"/>
                          </w:divBdr>
                          <w:divsChild>
                            <w:div w:id="1547331854">
                              <w:marLeft w:val="0"/>
                              <w:marRight w:val="0"/>
                              <w:marTop w:val="0"/>
                              <w:marBottom w:val="0"/>
                              <w:divBdr>
                                <w:top w:val="none" w:sz="0" w:space="0" w:color="auto"/>
                                <w:left w:val="none" w:sz="0" w:space="0" w:color="auto"/>
                                <w:bottom w:val="none" w:sz="0" w:space="0" w:color="auto"/>
                                <w:right w:val="none" w:sz="0" w:space="0" w:color="auto"/>
                              </w:divBdr>
                            </w:div>
                            <w:div w:id="175613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35452">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79635688">
                          <w:marLeft w:val="0"/>
                          <w:marRight w:val="0"/>
                          <w:marTop w:val="0"/>
                          <w:marBottom w:val="240"/>
                          <w:divBdr>
                            <w:top w:val="none" w:sz="0" w:space="0" w:color="auto"/>
                            <w:left w:val="none" w:sz="0" w:space="0" w:color="auto"/>
                            <w:bottom w:val="none" w:sz="0" w:space="0" w:color="auto"/>
                            <w:right w:val="none" w:sz="0" w:space="0" w:color="auto"/>
                          </w:divBdr>
                          <w:divsChild>
                            <w:div w:id="447627619">
                              <w:marLeft w:val="0"/>
                              <w:marRight w:val="0"/>
                              <w:marTop w:val="0"/>
                              <w:marBottom w:val="0"/>
                              <w:divBdr>
                                <w:top w:val="none" w:sz="0" w:space="0" w:color="auto"/>
                                <w:left w:val="none" w:sz="0" w:space="0" w:color="auto"/>
                                <w:bottom w:val="none" w:sz="0" w:space="0" w:color="auto"/>
                                <w:right w:val="none" w:sz="0" w:space="0" w:color="auto"/>
                              </w:divBdr>
                            </w:div>
                            <w:div w:id="105050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121767">
                      <w:marLeft w:val="0"/>
                      <w:marRight w:val="0"/>
                      <w:marTop w:val="0"/>
                      <w:marBottom w:val="360"/>
                      <w:divBdr>
                        <w:top w:val="single" w:sz="12" w:space="15" w:color="D5D5D5"/>
                        <w:left w:val="single" w:sz="12" w:space="8" w:color="D5D5D5"/>
                        <w:bottom w:val="single" w:sz="12" w:space="15" w:color="D5D5D5"/>
                        <w:right w:val="single" w:sz="12" w:space="8" w:color="D5D5D5"/>
                      </w:divBdr>
                    </w:div>
                    <w:div w:id="1002469876">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377242208">
                          <w:marLeft w:val="0"/>
                          <w:marRight w:val="0"/>
                          <w:marTop w:val="0"/>
                          <w:marBottom w:val="240"/>
                          <w:divBdr>
                            <w:top w:val="none" w:sz="0" w:space="0" w:color="auto"/>
                            <w:left w:val="none" w:sz="0" w:space="0" w:color="auto"/>
                            <w:bottom w:val="none" w:sz="0" w:space="0" w:color="auto"/>
                            <w:right w:val="none" w:sz="0" w:space="0" w:color="auto"/>
                          </w:divBdr>
                          <w:divsChild>
                            <w:div w:id="1515608906">
                              <w:marLeft w:val="0"/>
                              <w:marRight w:val="0"/>
                              <w:marTop w:val="0"/>
                              <w:marBottom w:val="0"/>
                              <w:divBdr>
                                <w:top w:val="none" w:sz="0" w:space="0" w:color="auto"/>
                                <w:left w:val="none" w:sz="0" w:space="0" w:color="auto"/>
                                <w:bottom w:val="none" w:sz="0" w:space="0" w:color="auto"/>
                                <w:right w:val="none" w:sz="0" w:space="0" w:color="auto"/>
                              </w:divBdr>
                            </w:div>
                            <w:div w:id="152968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240082">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332028549">
                          <w:marLeft w:val="0"/>
                          <w:marRight w:val="0"/>
                          <w:marTop w:val="0"/>
                          <w:marBottom w:val="240"/>
                          <w:divBdr>
                            <w:top w:val="none" w:sz="0" w:space="0" w:color="auto"/>
                            <w:left w:val="none" w:sz="0" w:space="0" w:color="auto"/>
                            <w:bottom w:val="none" w:sz="0" w:space="0" w:color="auto"/>
                            <w:right w:val="none" w:sz="0" w:space="0" w:color="auto"/>
                          </w:divBdr>
                          <w:divsChild>
                            <w:div w:id="1229927080">
                              <w:marLeft w:val="0"/>
                              <w:marRight w:val="0"/>
                              <w:marTop w:val="0"/>
                              <w:marBottom w:val="0"/>
                              <w:divBdr>
                                <w:top w:val="none" w:sz="0" w:space="0" w:color="auto"/>
                                <w:left w:val="none" w:sz="0" w:space="0" w:color="auto"/>
                                <w:bottom w:val="none" w:sz="0" w:space="0" w:color="auto"/>
                                <w:right w:val="none" w:sz="0" w:space="0" w:color="auto"/>
                              </w:divBdr>
                            </w:div>
                            <w:div w:id="20984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125413">
              <w:marLeft w:val="0"/>
              <w:marRight w:val="0"/>
              <w:marTop w:val="0"/>
              <w:marBottom w:val="0"/>
              <w:divBdr>
                <w:top w:val="none" w:sz="0" w:space="0" w:color="auto"/>
                <w:left w:val="none" w:sz="0" w:space="0" w:color="auto"/>
                <w:bottom w:val="none" w:sz="0" w:space="0" w:color="auto"/>
                <w:right w:val="none" w:sz="0" w:space="0" w:color="auto"/>
              </w:divBdr>
              <w:divsChild>
                <w:div w:id="1286276164">
                  <w:marLeft w:val="0"/>
                  <w:marRight w:val="0"/>
                  <w:marTop w:val="0"/>
                  <w:marBottom w:val="600"/>
                  <w:divBdr>
                    <w:top w:val="none" w:sz="0" w:space="0" w:color="auto"/>
                    <w:left w:val="none" w:sz="0" w:space="0" w:color="auto"/>
                    <w:bottom w:val="none" w:sz="0" w:space="0" w:color="auto"/>
                    <w:right w:val="none" w:sz="0" w:space="0" w:color="auto"/>
                  </w:divBdr>
                </w:div>
              </w:divsChild>
            </w:div>
            <w:div w:id="1024597943">
              <w:marLeft w:val="0"/>
              <w:marRight w:val="0"/>
              <w:marTop w:val="0"/>
              <w:marBottom w:val="0"/>
              <w:divBdr>
                <w:top w:val="none" w:sz="0" w:space="0" w:color="auto"/>
                <w:left w:val="none" w:sz="0" w:space="0" w:color="auto"/>
                <w:bottom w:val="none" w:sz="0" w:space="0" w:color="auto"/>
                <w:right w:val="none" w:sz="0" w:space="0" w:color="auto"/>
              </w:divBdr>
              <w:divsChild>
                <w:div w:id="1559239263">
                  <w:marLeft w:val="0"/>
                  <w:marRight w:val="0"/>
                  <w:marTop w:val="0"/>
                  <w:marBottom w:val="600"/>
                  <w:divBdr>
                    <w:top w:val="none" w:sz="0" w:space="0" w:color="auto"/>
                    <w:left w:val="none" w:sz="0" w:space="0" w:color="auto"/>
                    <w:bottom w:val="none" w:sz="0" w:space="0" w:color="auto"/>
                    <w:right w:val="none" w:sz="0" w:space="0" w:color="auto"/>
                  </w:divBdr>
                </w:div>
              </w:divsChild>
            </w:div>
            <w:div w:id="1044672393">
              <w:marLeft w:val="0"/>
              <w:marRight w:val="0"/>
              <w:marTop w:val="0"/>
              <w:marBottom w:val="0"/>
              <w:divBdr>
                <w:top w:val="none" w:sz="0" w:space="0" w:color="auto"/>
                <w:left w:val="none" w:sz="0" w:space="0" w:color="auto"/>
                <w:bottom w:val="none" w:sz="0" w:space="0" w:color="auto"/>
                <w:right w:val="none" w:sz="0" w:space="0" w:color="auto"/>
              </w:divBdr>
              <w:divsChild>
                <w:div w:id="1247575741">
                  <w:marLeft w:val="0"/>
                  <w:marRight w:val="0"/>
                  <w:marTop w:val="0"/>
                  <w:marBottom w:val="600"/>
                  <w:divBdr>
                    <w:top w:val="none" w:sz="0" w:space="0" w:color="auto"/>
                    <w:left w:val="none" w:sz="0" w:space="0" w:color="auto"/>
                    <w:bottom w:val="none" w:sz="0" w:space="0" w:color="auto"/>
                    <w:right w:val="none" w:sz="0" w:space="0" w:color="auto"/>
                  </w:divBdr>
                </w:div>
              </w:divsChild>
            </w:div>
            <w:div w:id="1281495288">
              <w:marLeft w:val="0"/>
              <w:marRight w:val="0"/>
              <w:marTop w:val="0"/>
              <w:marBottom w:val="0"/>
              <w:divBdr>
                <w:top w:val="none" w:sz="0" w:space="0" w:color="auto"/>
                <w:left w:val="none" w:sz="0" w:space="0" w:color="auto"/>
                <w:bottom w:val="none" w:sz="0" w:space="0" w:color="auto"/>
                <w:right w:val="none" w:sz="0" w:space="0" w:color="auto"/>
              </w:divBdr>
              <w:divsChild>
                <w:div w:id="1482044979">
                  <w:marLeft w:val="0"/>
                  <w:marRight w:val="0"/>
                  <w:marTop w:val="0"/>
                  <w:marBottom w:val="600"/>
                  <w:divBdr>
                    <w:top w:val="none" w:sz="0" w:space="0" w:color="auto"/>
                    <w:left w:val="none" w:sz="0" w:space="0" w:color="auto"/>
                    <w:bottom w:val="none" w:sz="0" w:space="0" w:color="auto"/>
                    <w:right w:val="none" w:sz="0" w:space="0" w:color="auto"/>
                  </w:divBdr>
                </w:div>
              </w:divsChild>
            </w:div>
            <w:div w:id="1678658213">
              <w:marLeft w:val="0"/>
              <w:marRight w:val="0"/>
              <w:marTop w:val="0"/>
              <w:marBottom w:val="0"/>
              <w:divBdr>
                <w:top w:val="none" w:sz="0" w:space="0" w:color="auto"/>
                <w:left w:val="none" w:sz="0" w:space="0" w:color="auto"/>
                <w:bottom w:val="none" w:sz="0" w:space="0" w:color="auto"/>
                <w:right w:val="none" w:sz="0" w:space="0" w:color="auto"/>
              </w:divBdr>
              <w:divsChild>
                <w:div w:id="1124272691">
                  <w:marLeft w:val="0"/>
                  <w:marRight w:val="0"/>
                  <w:marTop w:val="0"/>
                  <w:marBottom w:val="600"/>
                  <w:divBdr>
                    <w:top w:val="none" w:sz="0" w:space="0" w:color="auto"/>
                    <w:left w:val="none" w:sz="0" w:space="0" w:color="auto"/>
                    <w:bottom w:val="none" w:sz="0" w:space="0" w:color="auto"/>
                    <w:right w:val="none" w:sz="0" w:space="0" w:color="auto"/>
                  </w:divBdr>
                </w:div>
              </w:divsChild>
            </w:div>
            <w:div w:id="1696299465">
              <w:marLeft w:val="0"/>
              <w:marRight w:val="0"/>
              <w:marTop w:val="0"/>
              <w:marBottom w:val="0"/>
              <w:divBdr>
                <w:top w:val="none" w:sz="0" w:space="0" w:color="auto"/>
                <w:left w:val="none" w:sz="0" w:space="0" w:color="auto"/>
                <w:bottom w:val="none" w:sz="0" w:space="0" w:color="auto"/>
                <w:right w:val="none" w:sz="0" w:space="0" w:color="auto"/>
              </w:divBdr>
              <w:divsChild>
                <w:div w:id="1393188349">
                  <w:marLeft w:val="0"/>
                  <w:marRight w:val="0"/>
                  <w:marTop w:val="0"/>
                  <w:marBottom w:val="600"/>
                  <w:divBdr>
                    <w:top w:val="none" w:sz="0" w:space="0" w:color="auto"/>
                    <w:left w:val="none" w:sz="0" w:space="0" w:color="auto"/>
                    <w:bottom w:val="none" w:sz="0" w:space="0" w:color="auto"/>
                    <w:right w:val="none" w:sz="0" w:space="0" w:color="auto"/>
                  </w:divBdr>
                </w:div>
              </w:divsChild>
            </w:div>
            <w:div w:id="1815178425">
              <w:marLeft w:val="0"/>
              <w:marRight w:val="0"/>
              <w:marTop w:val="0"/>
              <w:marBottom w:val="0"/>
              <w:divBdr>
                <w:top w:val="none" w:sz="0" w:space="0" w:color="auto"/>
                <w:left w:val="none" w:sz="0" w:space="0" w:color="auto"/>
                <w:bottom w:val="none" w:sz="0" w:space="0" w:color="auto"/>
                <w:right w:val="none" w:sz="0" w:space="0" w:color="auto"/>
              </w:divBdr>
              <w:divsChild>
                <w:div w:id="46880587">
                  <w:marLeft w:val="0"/>
                  <w:marRight w:val="0"/>
                  <w:marTop w:val="0"/>
                  <w:marBottom w:val="600"/>
                  <w:divBdr>
                    <w:top w:val="none" w:sz="0" w:space="0" w:color="auto"/>
                    <w:left w:val="none" w:sz="0" w:space="0" w:color="auto"/>
                    <w:bottom w:val="none" w:sz="0" w:space="0" w:color="auto"/>
                    <w:right w:val="none" w:sz="0" w:space="0" w:color="auto"/>
                  </w:divBdr>
                  <w:divsChild>
                    <w:div w:id="7873238">
                      <w:marLeft w:val="0"/>
                      <w:marRight w:val="0"/>
                      <w:marTop w:val="0"/>
                      <w:marBottom w:val="0"/>
                      <w:divBdr>
                        <w:top w:val="none" w:sz="0" w:space="0" w:color="auto"/>
                        <w:left w:val="none" w:sz="0" w:space="0" w:color="auto"/>
                        <w:bottom w:val="none" w:sz="0" w:space="0" w:color="auto"/>
                        <w:right w:val="none" w:sz="0" w:space="0" w:color="auto"/>
                      </w:divBdr>
                      <w:divsChild>
                        <w:div w:id="647251175">
                          <w:marLeft w:val="0"/>
                          <w:marRight w:val="0"/>
                          <w:marTop w:val="0"/>
                          <w:marBottom w:val="0"/>
                          <w:divBdr>
                            <w:top w:val="none" w:sz="0" w:space="0" w:color="auto"/>
                            <w:left w:val="none" w:sz="0" w:space="0" w:color="auto"/>
                            <w:bottom w:val="none" w:sz="0" w:space="0" w:color="auto"/>
                            <w:right w:val="none" w:sz="0" w:space="0" w:color="auto"/>
                          </w:divBdr>
                          <w:divsChild>
                            <w:div w:id="166868460">
                              <w:marLeft w:val="0"/>
                              <w:marRight w:val="0"/>
                              <w:marTop w:val="0"/>
                              <w:marBottom w:val="0"/>
                              <w:divBdr>
                                <w:top w:val="none" w:sz="0" w:space="0" w:color="auto"/>
                                <w:left w:val="none" w:sz="0" w:space="0" w:color="auto"/>
                                <w:bottom w:val="none" w:sz="0" w:space="0" w:color="auto"/>
                                <w:right w:val="none" w:sz="0" w:space="0" w:color="auto"/>
                              </w:divBdr>
                            </w:div>
                            <w:div w:id="1622032197">
                              <w:marLeft w:val="0"/>
                              <w:marRight w:val="0"/>
                              <w:marTop w:val="0"/>
                              <w:marBottom w:val="0"/>
                              <w:divBdr>
                                <w:top w:val="none" w:sz="0" w:space="0" w:color="auto"/>
                                <w:left w:val="none" w:sz="0" w:space="0" w:color="auto"/>
                                <w:bottom w:val="none" w:sz="0" w:space="0" w:color="auto"/>
                                <w:right w:val="none" w:sz="0" w:space="0" w:color="auto"/>
                              </w:divBdr>
                              <w:divsChild>
                                <w:div w:id="6237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941974">
                          <w:marLeft w:val="0"/>
                          <w:marRight w:val="360"/>
                          <w:marTop w:val="0"/>
                          <w:marBottom w:val="0"/>
                          <w:divBdr>
                            <w:top w:val="none" w:sz="0" w:space="0" w:color="auto"/>
                            <w:left w:val="none" w:sz="0" w:space="0" w:color="auto"/>
                            <w:bottom w:val="none" w:sz="0" w:space="0" w:color="auto"/>
                            <w:right w:val="single" w:sz="6" w:space="0" w:color="D5D5D5"/>
                          </w:divBdr>
                        </w:div>
                      </w:divsChild>
                    </w:div>
                  </w:divsChild>
                </w:div>
              </w:divsChild>
            </w:div>
          </w:divsChild>
        </w:div>
        <w:div w:id="2145731243">
          <w:marLeft w:val="0"/>
          <w:marRight w:val="0"/>
          <w:marTop w:val="0"/>
          <w:marBottom w:val="360"/>
          <w:divBdr>
            <w:top w:val="none" w:sz="0" w:space="0" w:color="auto"/>
            <w:left w:val="none" w:sz="0" w:space="0" w:color="auto"/>
            <w:bottom w:val="none" w:sz="0" w:space="0" w:color="auto"/>
            <w:right w:val="none" w:sz="0" w:space="0" w:color="auto"/>
          </w:divBdr>
        </w:div>
      </w:divsChild>
    </w:div>
    <w:div w:id="736513017">
      <w:bodyDiv w:val="1"/>
      <w:marLeft w:val="0"/>
      <w:marRight w:val="0"/>
      <w:marTop w:val="0"/>
      <w:marBottom w:val="0"/>
      <w:divBdr>
        <w:top w:val="none" w:sz="0" w:space="0" w:color="auto"/>
        <w:left w:val="none" w:sz="0" w:space="0" w:color="auto"/>
        <w:bottom w:val="none" w:sz="0" w:space="0" w:color="auto"/>
        <w:right w:val="none" w:sz="0" w:space="0" w:color="auto"/>
      </w:divBdr>
    </w:div>
    <w:div w:id="752896698">
      <w:bodyDiv w:val="1"/>
      <w:marLeft w:val="0"/>
      <w:marRight w:val="0"/>
      <w:marTop w:val="0"/>
      <w:marBottom w:val="0"/>
      <w:divBdr>
        <w:top w:val="none" w:sz="0" w:space="0" w:color="auto"/>
        <w:left w:val="none" w:sz="0" w:space="0" w:color="auto"/>
        <w:bottom w:val="none" w:sz="0" w:space="0" w:color="auto"/>
        <w:right w:val="none" w:sz="0" w:space="0" w:color="auto"/>
      </w:divBdr>
    </w:div>
    <w:div w:id="758407006">
      <w:bodyDiv w:val="1"/>
      <w:marLeft w:val="0"/>
      <w:marRight w:val="0"/>
      <w:marTop w:val="0"/>
      <w:marBottom w:val="0"/>
      <w:divBdr>
        <w:top w:val="none" w:sz="0" w:space="0" w:color="auto"/>
        <w:left w:val="none" w:sz="0" w:space="0" w:color="auto"/>
        <w:bottom w:val="none" w:sz="0" w:space="0" w:color="auto"/>
        <w:right w:val="none" w:sz="0" w:space="0" w:color="auto"/>
      </w:divBdr>
    </w:div>
    <w:div w:id="785808587">
      <w:bodyDiv w:val="1"/>
      <w:marLeft w:val="0"/>
      <w:marRight w:val="0"/>
      <w:marTop w:val="0"/>
      <w:marBottom w:val="0"/>
      <w:divBdr>
        <w:top w:val="none" w:sz="0" w:space="0" w:color="auto"/>
        <w:left w:val="none" w:sz="0" w:space="0" w:color="auto"/>
        <w:bottom w:val="none" w:sz="0" w:space="0" w:color="auto"/>
        <w:right w:val="none" w:sz="0" w:space="0" w:color="auto"/>
      </w:divBdr>
      <w:divsChild>
        <w:div w:id="2012947643">
          <w:marLeft w:val="0"/>
          <w:marRight w:val="0"/>
          <w:marTop w:val="0"/>
          <w:marBottom w:val="0"/>
          <w:divBdr>
            <w:top w:val="none" w:sz="0" w:space="0" w:color="auto"/>
            <w:left w:val="none" w:sz="0" w:space="0" w:color="auto"/>
            <w:bottom w:val="none" w:sz="0" w:space="0" w:color="auto"/>
            <w:right w:val="none" w:sz="0" w:space="0" w:color="auto"/>
          </w:divBdr>
          <w:divsChild>
            <w:div w:id="479924351">
              <w:marLeft w:val="0"/>
              <w:marRight w:val="0"/>
              <w:marTop w:val="0"/>
              <w:marBottom w:val="0"/>
              <w:divBdr>
                <w:top w:val="none" w:sz="0" w:space="0" w:color="auto"/>
                <w:left w:val="none" w:sz="0" w:space="0" w:color="auto"/>
                <w:bottom w:val="none" w:sz="0" w:space="0" w:color="auto"/>
                <w:right w:val="none" w:sz="0" w:space="0" w:color="auto"/>
              </w:divBdr>
              <w:divsChild>
                <w:div w:id="15106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16951">
      <w:bodyDiv w:val="1"/>
      <w:marLeft w:val="0"/>
      <w:marRight w:val="0"/>
      <w:marTop w:val="0"/>
      <w:marBottom w:val="0"/>
      <w:divBdr>
        <w:top w:val="none" w:sz="0" w:space="0" w:color="auto"/>
        <w:left w:val="none" w:sz="0" w:space="0" w:color="auto"/>
        <w:bottom w:val="none" w:sz="0" w:space="0" w:color="auto"/>
        <w:right w:val="none" w:sz="0" w:space="0" w:color="auto"/>
      </w:divBdr>
    </w:div>
    <w:div w:id="795414563">
      <w:bodyDiv w:val="1"/>
      <w:marLeft w:val="0"/>
      <w:marRight w:val="0"/>
      <w:marTop w:val="0"/>
      <w:marBottom w:val="0"/>
      <w:divBdr>
        <w:top w:val="none" w:sz="0" w:space="0" w:color="auto"/>
        <w:left w:val="none" w:sz="0" w:space="0" w:color="auto"/>
        <w:bottom w:val="none" w:sz="0" w:space="0" w:color="auto"/>
        <w:right w:val="none" w:sz="0" w:space="0" w:color="auto"/>
      </w:divBdr>
    </w:div>
    <w:div w:id="795877385">
      <w:bodyDiv w:val="1"/>
      <w:marLeft w:val="0"/>
      <w:marRight w:val="0"/>
      <w:marTop w:val="0"/>
      <w:marBottom w:val="0"/>
      <w:divBdr>
        <w:top w:val="none" w:sz="0" w:space="0" w:color="auto"/>
        <w:left w:val="none" w:sz="0" w:space="0" w:color="auto"/>
        <w:bottom w:val="none" w:sz="0" w:space="0" w:color="auto"/>
        <w:right w:val="none" w:sz="0" w:space="0" w:color="auto"/>
      </w:divBdr>
    </w:div>
    <w:div w:id="813792128">
      <w:bodyDiv w:val="1"/>
      <w:marLeft w:val="0"/>
      <w:marRight w:val="0"/>
      <w:marTop w:val="0"/>
      <w:marBottom w:val="0"/>
      <w:divBdr>
        <w:top w:val="none" w:sz="0" w:space="0" w:color="auto"/>
        <w:left w:val="none" w:sz="0" w:space="0" w:color="auto"/>
        <w:bottom w:val="none" w:sz="0" w:space="0" w:color="auto"/>
        <w:right w:val="none" w:sz="0" w:space="0" w:color="auto"/>
      </w:divBdr>
    </w:div>
    <w:div w:id="815681490">
      <w:bodyDiv w:val="1"/>
      <w:marLeft w:val="0"/>
      <w:marRight w:val="0"/>
      <w:marTop w:val="0"/>
      <w:marBottom w:val="0"/>
      <w:divBdr>
        <w:top w:val="none" w:sz="0" w:space="0" w:color="auto"/>
        <w:left w:val="none" w:sz="0" w:space="0" w:color="auto"/>
        <w:bottom w:val="none" w:sz="0" w:space="0" w:color="auto"/>
        <w:right w:val="none" w:sz="0" w:space="0" w:color="auto"/>
      </w:divBdr>
    </w:div>
    <w:div w:id="821458792">
      <w:bodyDiv w:val="1"/>
      <w:marLeft w:val="0"/>
      <w:marRight w:val="0"/>
      <w:marTop w:val="0"/>
      <w:marBottom w:val="0"/>
      <w:divBdr>
        <w:top w:val="none" w:sz="0" w:space="0" w:color="auto"/>
        <w:left w:val="none" w:sz="0" w:space="0" w:color="auto"/>
        <w:bottom w:val="none" w:sz="0" w:space="0" w:color="auto"/>
        <w:right w:val="none" w:sz="0" w:space="0" w:color="auto"/>
      </w:divBdr>
    </w:div>
    <w:div w:id="843127462">
      <w:bodyDiv w:val="1"/>
      <w:marLeft w:val="0"/>
      <w:marRight w:val="0"/>
      <w:marTop w:val="0"/>
      <w:marBottom w:val="0"/>
      <w:divBdr>
        <w:top w:val="none" w:sz="0" w:space="0" w:color="auto"/>
        <w:left w:val="none" w:sz="0" w:space="0" w:color="auto"/>
        <w:bottom w:val="none" w:sz="0" w:space="0" w:color="auto"/>
        <w:right w:val="none" w:sz="0" w:space="0" w:color="auto"/>
      </w:divBdr>
    </w:div>
    <w:div w:id="856651942">
      <w:bodyDiv w:val="1"/>
      <w:marLeft w:val="0"/>
      <w:marRight w:val="0"/>
      <w:marTop w:val="0"/>
      <w:marBottom w:val="0"/>
      <w:divBdr>
        <w:top w:val="none" w:sz="0" w:space="0" w:color="auto"/>
        <w:left w:val="none" w:sz="0" w:space="0" w:color="auto"/>
        <w:bottom w:val="none" w:sz="0" w:space="0" w:color="auto"/>
        <w:right w:val="none" w:sz="0" w:space="0" w:color="auto"/>
      </w:divBdr>
    </w:div>
    <w:div w:id="862675101">
      <w:bodyDiv w:val="1"/>
      <w:marLeft w:val="0"/>
      <w:marRight w:val="0"/>
      <w:marTop w:val="0"/>
      <w:marBottom w:val="0"/>
      <w:divBdr>
        <w:top w:val="none" w:sz="0" w:space="0" w:color="auto"/>
        <w:left w:val="none" w:sz="0" w:space="0" w:color="auto"/>
        <w:bottom w:val="none" w:sz="0" w:space="0" w:color="auto"/>
        <w:right w:val="none" w:sz="0" w:space="0" w:color="auto"/>
      </w:divBdr>
    </w:div>
    <w:div w:id="863830800">
      <w:bodyDiv w:val="1"/>
      <w:marLeft w:val="0"/>
      <w:marRight w:val="0"/>
      <w:marTop w:val="0"/>
      <w:marBottom w:val="0"/>
      <w:divBdr>
        <w:top w:val="none" w:sz="0" w:space="0" w:color="auto"/>
        <w:left w:val="none" w:sz="0" w:space="0" w:color="auto"/>
        <w:bottom w:val="none" w:sz="0" w:space="0" w:color="auto"/>
        <w:right w:val="none" w:sz="0" w:space="0" w:color="auto"/>
      </w:divBdr>
    </w:div>
    <w:div w:id="890116221">
      <w:bodyDiv w:val="1"/>
      <w:marLeft w:val="0"/>
      <w:marRight w:val="0"/>
      <w:marTop w:val="0"/>
      <w:marBottom w:val="0"/>
      <w:divBdr>
        <w:top w:val="none" w:sz="0" w:space="0" w:color="auto"/>
        <w:left w:val="none" w:sz="0" w:space="0" w:color="auto"/>
        <w:bottom w:val="none" w:sz="0" w:space="0" w:color="auto"/>
        <w:right w:val="none" w:sz="0" w:space="0" w:color="auto"/>
      </w:divBdr>
    </w:div>
    <w:div w:id="930312732">
      <w:bodyDiv w:val="1"/>
      <w:marLeft w:val="0"/>
      <w:marRight w:val="0"/>
      <w:marTop w:val="0"/>
      <w:marBottom w:val="0"/>
      <w:divBdr>
        <w:top w:val="none" w:sz="0" w:space="0" w:color="auto"/>
        <w:left w:val="none" w:sz="0" w:space="0" w:color="auto"/>
        <w:bottom w:val="none" w:sz="0" w:space="0" w:color="auto"/>
        <w:right w:val="none" w:sz="0" w:space="0" w:color="auto"/>
      </w:divBdr>
    </w:div>
    <w:div w:id="933435475">
      <w:bodyDiv w:val="1"/>
      <w:marLeft w:val="0"/>
      <w:marRight w:val="0"/>
      <w:marTop w:val="0"/>
      <w:marBottom w:val="0"/>
      <w:divBdr>
        <w:top w:val="none" w:sz="0" w:space="0" w:color="auto"/>
        <w:left w:val="none" w:sz="0" w:space="0" w:color="auto"/>
        <w:bottom w:val="none" w:sz="0" w:space="0" w:color="auto"/>
        <w:right w:val="none" w:sz="0" w:space="0" w:color="auto"/>
      </w:divBdr>
      <w:divsChild>
        <w:div w:id="775298125">
          <w:marLeft w:val="0"/>
          <w:marRight w:val="0"/>
          <w:marTop w:val="0"/>
          <w:marBottom w:val="0"/>
          <w:divBdr>
            <w:top w:val="none" w:sz="0" w:space="0" w:color="auto"/>
            <w:left w:val="none" w:sz="0" w:space="0" w:color="auto"/>
            <w:bottom w:val="none" w:sz="0" w:space="0" w:color="auto"/>
            <w:right w:val="none" w:sz="0" w:space="0" w:color="auto"/>
          </w:divBdr>
          <w:divsChild>
            <w:div w:id="1565725131">
              <w:marLeft w:val="0"/>
              <w:marRight w:val="0"/>
              <w:marTop w:val="0"/>
              <w:marBottom w:val="0"/>
              <w:divBdr>
                <w:top w:val="none" w:sz="0" w:space="0" w:color="auto"/>
                <w:left w:val="none" w:sz="0" w:space="0" w:color="auto"/>
                <w:bottom w:val="none" w:sz="0" w:space="0" w:color="auto"/>
                <w:right w:val="none" w:sz="0" w:space="0" w:color="auto"/>
              </w:divBdr>
              <w:divsChild>
                <w:div w:id="172571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855107">
      <w:bodyDiv w:val="1"/>
      <w:marLeft w:val="0"/>
      <w:marRight w:val="0"/>
      <w:marTop w:val="0"/>
      <w:marBottom w:val="0"/>
      <w:divBdr>
        <w:top w:val="none" w:sz="0" w:space="0" w:color="auto"/>
        <w:left w:val="none" w:sz="0" w:space="0" w:color="auto"/>
        <w:bottom w:val="none" w:sz="0" w:space="0" w:color="auto"/>
        <w:right w:val="none" w:sz="0" w:space="0" w:color="auto"/>
      </w:divBdr>
    </w:div>
    <w:div w:id="940184915">
      <w:bodyDiv w:val="1"/>
      <w:marLeft w:val="0"/>
      <w:marRight w:val="0"/>
      <w:marTop w:val="0"/>
      <w:marBottom w:val="0"/>
      <w:divBdr>
        <w:top w:val="none" w:sz="0" w:space="0" w:color="auto"/>
        <w:left w:val="none" w:sz="0" w:space="0" w:color="auto"/>
        <w:bottom w:val="none" w:sz="0" w:space="0" w:color="auto"/>
        <w:right w:val="none" w:sz="0" w:space="0" w:color="auto"/>
      </w:divBdr>
    </w:div>
    <w:div w:id="991174302">
      <w:bodyDiv w:val="1"/>
      <w:marLeft w:val="0"/>
      <w:marRight w:val="0"/>
      <w:marTop w:val="0"/>
      <w:marBottom w:val="0"/>
      <w:divBdr>
        <w:top w:val="none" w:sz="0" w:space="0" w:color="auto"/>
        <w:left w:val="none" w:sz="0" w:space="0" w:color="auto"/>
        <w:bottom w:val="none" w:sz="0" w:space="0" w:color="auto"/>
        <w:right w:val="none" w:sz="0" w:space="0" w:color="auto"/>
      </w:divBdr>
      <w:divsChild>
        <w:div w:id="25373417">
          <w:marLeft w:val="0"/>
          <w:marRight w:val="0"/>
          <w:marTop w:val="0"/>
          <w:marBottom w:val="0"/>
          <w:divBdr>
            <w:top w:val="none" w:sz="0" w:space="0" w:color="auto"/>
            <w:left w:val="none" w:sz="0" w:space="0" w:color="auto"/>
            <w:bottom w:val="none" w:sz="0" w:space="0" w:color="auto"/>
            <w:right w:val="none" w:sz="0" w:space="0" w:color="auto"/>
          </w:divBdr>
        </w:div>
      </w:divsChild>
    </w:div>
    <w:div w:id="1024592536">
      <w:bodyDiv w:val="1"/>
      <w:marLeft w:val="0"/>
      <w:marRight w:val="0"/>
      <w:marTop w:val="0"/>
      <w:marBottom w:val="0"/>
      <w:divBdr>
        <w:top w:val="none" w:sz="0" w:space="0" w:color="auto"/>
        <w:left w:val="none" w:sz="0" w:space="0" w:color="auto"/>
        <w:bottom w:val="none" w:sz="0" w:space="0" w:color="auto"/>
        <w:right w:val="none" w:sz="0" w:space="0" w:color="auto"/>
      </w:divBdr>
    </w:div>
    <w:div w:id="1028146317">
      <w:bodyDiv w:val="1"/>
      <w:marLeft w:val="0"/>
      <w:marRight w:val="0"/>
      <w:marTop w:val="0"/>
      <w:marBottom w:val="0"/>
      <w:divBdr>
        <w:top w:val="none" w:sz="0" w:space="0" w:color="auto"/>
        <w:left w:val="none" w:sz="0" w:space="0" w:color="auto"/>
        <w:bottom w:val="none" w:sz="0" w:space="0" w:color="auto"/>
        <w:right w:val="none" w:sz="0" w:space="0" w:color="auto"/>
      </w:divBdr>
    </w:div>
    <w:div w:id="1031490614">
      <w:bodyDiv w:val="1"/>
      <w:marLeft w:val="0"/>
      <w:marRight w:val="0"/>
      <w:marTop w:val="0"/>
      <w:marBottom w:val="0"/>
      <w:divBdr>
        <w:top w:val="none" w:sz="0" w:space="0" w:color="auto"/>
        <w:left w:val="none" w:sz="0" w:space="0" w:color="auto"/>
        <w:bottom w:val="none" w:sz="0" w:space="0" w:color="auto"/>
        <w:right w:val="none" w:sz="0" w:space="0" w:color="auto"/>
      </w:divBdr>
      <w:divsChild>
        <w:div w:id="693385995">
          <w:marLeft w:val="0"/>
          <w:marRight w:val="0"/>
          <w:marTop w:val="0"/>
          <w:marBottom w:val="0"/>
          <w:divBdr>
            <w:top w:val="none" w:sz="0" w:space="0" w:color="auto"/>
            <w:left w:val="none" w:sz="0" w:space="0" w:color="auto"/>
            <w:bottom w:val="none" w:sz="0" w:space="0" w:color="auto"/>
            <w:right w:val="none" w:sz="0" w:space="0" w:color="auto"/>
          </w:divBdr>
          <w:divsChild>
            <w:div w:id="1505196939">
              <w:marLeft w:val="0"/>
              <w:marRight w:val="0"/>
              <w:marTop w:val="0"/>
              <w:marBottom w:val="0"/>
              <w:divBdr>
                <w:top w:val="none" w:sz="0" w:space="0" w:color="auto"/>
                <w:left w:val="none" w:sz="0" w:space="0" w:color="auto"/>
                <w:bottom w:val="none" w:sz="0" w:space="0" w:color="auto"/>
                <w:right w:val="none" w:sz="0" w:space="0" w:color="auto"/>
              </w:divBdr>
              <w:divsChild>
                <w:div w:id="127732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75238">
      <w:bodyDiv w:val="1"/>
      <w:marLeft w:val="0"/>
      <w:marRight w:val="0"/>
      <w:marTop w:val="0"/>
      <w:marBottom w:val="0"/>
      <w:divBdr>
        <w:top w:val="none" w:sz="0" w:space="0" w:color="auto"/>
        <w:left w:val="none" w:sz="0" w:space="0" w:color="auto"/>
        <w:bottom w:val="none" w:sz="0" w:space="0" w:color="auto"/>
        <w:right w:val="none" w:sz="0" w:space="0" w:color="auto"/>
      </w:divBdr>
    </w:div>
    <w:div w:id="1056053653">
      <w:bodyDiv w:val="1"/>
      <w:marLeft w:val="0"/>
      <w:marRight w:val="0"/>
      <w:marTop w:val="0"/>
      <w:marBottom w:val="0"/>
      <w:divBdr>
        <w:top w:val="none" w:sz="0" w:space="0" w:color="auto"/>
        <w:left w:val="none" w:sz="0" w:space="0" w:color="auto"/>
        <w:bottom w:val="none" w:sz="0" w:space="0" w:color="auto"/>
        <w:right w:val="none" w:sz="0" w:space="0" w:color="auto"/>
      </w:divBdr>
    </w:div>
    <w:div w:id="1062605759">
      <w:bodyDiv w:val="1"/>
      <w:marLeft w:val="0"/>
      <w:marRight w:val="0"/>
      <w:marTop w:val="0"/>
      <w:marBottom w:val="0"/>
      <w:divBdr>
        <w:top w:val="none" w:sz="0" w:space="0" w:color="auto"/>
        <w:left w:val="none" w:sz="0" w:space="0" w:color="auto"/>
        <w:bottom w:val="none" w:sz="0" w:space="0" w:color="auto"/>
        <w:right w:val="none" w:sz="0" w:space="0" w:color="auto"/>
      </w:divBdr>
      <w:divsChild>
        <w:div w:id="1568104727">
          <w:marLeft w:val="0"/>
          <w:marRight w:val="0"/>
          <w:marTop w:val="0"/>
          <w:marBottom w:val="150"/>
          <w:divBdr>
            <w:top w:val="none" w:sz="0" w:space="0" w:color="auto"/>
            <w:left w:val="none" w:sz="0" w:space="0" w:color="auto"/>
            <w:bottom w:val="none" w:sz="0" w:space="0" w:color="auto"/>
            <w:right w:val="none" w:sz="0" w:space="0" w:color="auto"/>
          </w:divBdr>
        </w:div>
        <w:div w:id="1187907039">
          <w:marLeft w:val="0"/>
          <w:marRight w:val="0"/>
          <w:marTop w:val="0"/>
          <w:marBottom w:val="0"/>
          <w:divBdr>
            <w:top w:val="none" w:sz="0" w:space="0" w:color="auto"/>
            <w:left w:val="none" w:sz="0" w:space="0" w:color="auto"/>
            <w:bottom w:val="none" w:sz="0" w:space="0" w:color="auto"/>
            <w:right w:val="none" w:sz="0" w:space="0" w:color="auto"/>
          </w:divBdr>
        </w:div>
      </w:divsChild>
    </w:div>
    <w:div w:id="1081634364">
      <w:bodyDiv w:val="1"/>
      <w:marLeft w:val="0"/>
      <w:marRight w:val="0"/>
      <w:marTop w:val="0"/>
      <w:marBottom w:val="0"/>
      <w:divBdr>
        <w:top w:val="none" w:sz="0" w:space="0" w:color="auto"/>
        <w:left w:val="none" w:sz="0" w:space="0" w:color="auto"/>
        <w:bottom w:val="none" w:sz="0" w:space="0" w:color="auto"/>
        <w:right w:val="none" w:sz="0" w:space="0" w:color="auto"/>
      </w:divBdr>
    </w:div>
    <w:div w:id="1097485872">
      <w:bodyDiv w:val="1"/>
      <w:marLeft w:val="0"/>
      <w:marRight w:val="0"/>
      <w:marTop w:val="0"/>
      <w:marBottom w:val="0"/>
      <w:divBdr>
        <w:top w:val="none" w:sz="0" w:space="0" w:color="auto"/>
        <w:left w:val="none" w:sz="0" w:space="0" w:color="auto"/>
        <w:bottom w:val="none" w:sz="0" w:space="0" w:color="auto"/>
        <w:right w:val="none" w:sz="0" w:space="0" w:color="auto"/>
      </w:divBdr>
    </w:div>
    <w:div w:id="1105223691">
      <w:bodyDiv w:val="1"/>
      <w:marLeft w:val="0"/>
      <w:marRight w:val="0"/>
      <w:marTop w:val="0"/>
      <w:marBottom w:val="0"/>
      <w:divBdr>
        <w:top w:val="none" w:sz="0" w:space="0" w:color="auto"/>
        <w:left w:val="none" w:sz="0" w:space="0" w:color="auto"/>
        <w:bottom w:val="none" w:sz="0" w:space="0" w:color="auto"/>
        <w:right w:val="none" w:sz="0" w:space="0" w:color="auto"/>
      </w:divBdr>
      <w:divsChild>
        <w:div w:id="432938254">
          <w:marLeft w:val="0"/>
          <w:marRight w:val="0"/>
          <w:marTop w:val="0"/>
          <w:marBottom w:val="0"/>
          <w:divBdr>
            <w:top w:val="none" w:sz="0" w:space="0" w:color="auto"/>
            <w:left w:val="none" w:sz="0" w:space="0" w:color="auto"/>
            <w:bottom w:val="none" w:sz="0" w:space="0" w:color="auto"/>
            <w:right w:val="none" w:sz="0" w:space="0" w:color="auto"/>
          </w:divBdr>
          <w:divsChild>
            <w:div w:id="701784442">
              <w:marLeft w:val="0"/>
              <w:marRight w:val="0"/>
              <w:marTop w:val="0"/>
              <w:marBottom w:val="0"/>
              <w:divBdr>
                <w:top w:val="none" w:sz="0" w:space="0" w:color="auto"/>
                <w:left w:val="none" w:sz="0" w:space="0" w:color="auto"/>
                <w:bottom w:val="none" w:sz="0" w:space="0" w:color="auto"/>
                <w:right w:val="none" w:sz="0" w:space="0" w:color="auto"/>
              </w:divBdr>
              <w:divsChild>
                <w:div w:id="211277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657199">
      <w:bodyDiv w:val="1"/>
      <w:marLeft w:val="0"/>
      <w:marRight w:val="0"/>
      <w:marTop w:val="0"/>
      <w:marBottom w:val="0"/>
      <w:divBdr>
        <w:top w:val="none" w:sz="0" w:space="0" w:color="auto"/>
        <w:left w:val="none" w:sz="0" w:space="0" w:color="auto"/>
        <w:bottom w:val="none" w:sz="0" w:space="0" w:color="auto"/>
        <w:right w:val="none" w:sz="0" w:space="0" w:color="auto"/>
      </w:divBdr>
      <w:divsChild>
        <w:div w:id="1237087866">
          <w:marLeft w:val="0"/>
          <w:marRight w:val="0"/>
          <w:marTop w:val="0"/>
          <w:marBottom w:val="0"/>
          <w:divBdr>
            <w:top w:val="none" w:sz="0" w:space="0" w:color="auto"/>
            <w:left w:val="none" w:sz="0" w:space="0" w:color="auto"/>
            <w:bottom w:val="none" w:sz="0" w:space="0" w:color="auto"/>
            <w:right w:val="none" w:sz="0" w:space="0" w:color="auto"/>
          </w:divBdr>
          <w:divsChild>
            <w:div w:id="1652054027">
              <w:marLeft w:val="0"/>
              <w:marRight w:val="0"/>
              <w:marTop w:val="0"/>
              <w:marBottom w:val="0"/>
              <w:divBdr>
                <w:top w:val="none" w:sz="0" w:space="0" w:color="auto"/>
                <w:left w:val="none" w:sz="0" w:space="0" w:color="auto"/>
                <w:bottom w:val="none" w:sz="0" w:space="0" w:color="auto"/>
                <w:right w:val="none" w:sz="0" w:space="0" w:color="auto"/>
              </w:divBdr>
              <w:divsChild>
                <w:div w:id="313533241">
                  <w:marLeft w:val="0"/>
                  <w:marRight w:val="0"/>
                  <w:marTop w:val="0"/>
                  <w:marBottom w:val="0"/>
                  <w:divBdr>
                    <w:top w:val="none" w:sz="0" w:space="0" w:color="auto"/>
                    <w:left w:val="none" w:sz="0" w:space="0" w:color="auto"/>
                    <w:bottom w:val="none" w:sz="0" w:space="0" w:color="auto"/>
                    <w:right w:val="none" w:sz="0" w:space="0" w:color="auto"/>
                  </w:divBdr>
                </w:div>
              </w:divsChild>
            </w:div>
            <w:div w:id="1953588201">
              <w:marLeft w:val="0"/>
              <w:marRight w:val="0"/>
              <w:marTop w:val="0"/>
              <w:marBottom w:val="0"/>
              <w:divBdr>
                <w:top w:val="none" w:sz="0" w:space="0" w:color="auto"/>
                <w:left w:val="none" w:sz="0" w:space="0" w:color="auto"/>
                <w:bottom w:val="none" w:sz="0" w:space="0" w:color="auto"/>
                <w:right w:val="none" w:sz="0" w:space="0" w:color="auto"/>
              </w:divBdr>
              <w:divsChild>
                <w:div w:id="160460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965022">
      <w:bodyDiv w:val="1"/>
      <w:marLeft w:val="0"/>
      <w:marRight w:val="0"/>
      <w:marTop w:val="0"/>
      <w:marBottom w:val="0"/>
      <w:divBdr>
        <w:top w:val="none" w:sz="0" w:space="0" w:color="auto"/>
        <w:left w:val="none" w:sz="0" w:space="0" w:color="auto"/>
        <w:bottom w:val="none" w:sz="0" w:space="0" w:color="auto"/>
        <w:right w:val="none" w:sz="0" w:space="0" w:color="auto"/>
      </w:divBdr>
    </w:div>
    <w:div w:id="1125809860">
      <w:bodyDiv w:val="1"/>
      <w:marLeft w:val="0"/>
      <w:marRight w:val="0"/>
      <w:marTop w:val="0"/>
      <w:marBottom w:val="0"/>
      <w:divBdr>
        <w:top w:val="none" w:sz="0" w:space="0" w:color="auto"/>
        <w:left w:val="none" w:sz="0" w:space="0" w:color="auto"/>
        <w:bottom w:val="none" w:sz="0" w:space="0" w:color="auto"/>
        <w:right w:val="none" w:sz="0" w:space="0" w:color="auto"/>
      </w:divBdr>
      <w:divsChild>
        <w:div w:id="296305527">
          <w:marLeft w:val="0"/>
          <w:marRight w:val="0"/>
          <w:marTop w:val="0"/>
          <w:marBottom w:val="0"/>
          <w:divBdr>
            <w:top w:val="none" w:sz="0" w:space="0" w:color="auto"/>
            <w:left w:val="none" w:sz="0" w:space="0" w:color="auto"/>
            <w:bottom w:val="none" w:sz="0" w:space="0" w:color="auto"/>
            <w:right w:val="none" w:sz="0" w:space="0" w:color="auto"/>
          </w:divBdr>
          <w:divsChild>
            <w:div w:id="1738473722">
              <w:marLeft w:val="0"/>
              <w:marRight w:val="0"/>
              <w:marTop w:val="0"/>
              <w:marBottom w:val="0"/>
              <w:divBdr>
                <w:top w:val="none" w:sz="0" w:space="0" w:color="auto"/>
                <w:left w:val="none" w:sz="0" w:space="0" w:color="auto"/>
                <w:bottom w:val="none" w:sz="0" w:space="0" w:color="auto"/>
                <w:right w:val="none" w:sz="0" w:space="0" w:color="auto"/>
              </w:divBdr>
              <w:divsChild>
                <w:div w:id="131819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479563">
      <w:bodyDiv w:val="1"/>
      <w:marLeft w:val="0"/>
      <w:marRight w:val="0"/>
      <w:marTop w:val="0"/>
      <w:marBottom w:val="0"/>
      <w:divBdr>
        <w:top w:val="none" w:sz="0" w:space="0" w:color="auto"/>
        <w:left w:val="none" w:sz="0" w:space="0" w:color="auto"/>
        <w:bottom w:val="none" w:sz="0" w:space="0" w:color="auto"/>
        <w:right w:val="none" w:sz="0" w:space="0" w:color="auto"/>
      </w:divBdr>
    </w:div>
    <w:div w:id="1193301132">
      <w:bodyDiv w:val="1"/>
      <w:marLeft w:val="0"/>
      <w:marRight w:val="0"/>
      <w:marTop w:val="0"/>
      <w:marBottom w:val="0"/>
      <w:divBdr>
        <w:top w:val="none" w:sz="0" w:space="0" w:color="auto"/>
        <w:left w:val="none" w:sz="0" w:space="0" w:color="auto"/>
        <w:bottom w:val="none" w:sz="0" w:space="0" w:color="auto"/>
        <w:right w:val="none" w:sz="0" w:space="0" w:color="auto"/>
      </w:divBdr>
    </w:div>
    <w:div w:id="1212110853">
      <w:bodyDiv w:val="1"/>
      <w:marLeft w:val="0"/>
      <w:marRight w:val="0"/>
      <w:marTop w:val="0"/>
      <w:marBottom w:val="0"/>
      <w:divBdr>
        <w:top w:val="none" w:sz="0" w:space="0" w:color="auto"/>
        <w:left w:val="none" w:sz="0" w:space="0" w:color="auto"/>
        <w:bottom w:val="none" w:sz="0" w:space="0" w:color="auto"/>
        <w:right w:val="none" w:sz="0" w:space="0" w:color="auto"/>
      </w:divBdr>
    </w:div>
    <w:div w:id="1237473207">
      <w:bodyDiv w:val="1"/>
      <w:marLeft w:val="0"/>
      <w:marRight w:val="0"/>
      <w:marTop w:val="0"/>
      <w:marBottom w:val="0"/>
      <w:divBdr>
        <w:top w:val="none" w:sz="0" w:space="0" w:color="auto"/>
        <w:left w:val="none" w:sz="0" w:space="0" w:color="auto"/>
        <w:bottom w:val="none" w:sz="0" w:space="0" w:color="auto"/>
        <w:right w:val="none" w:sz="0" w:space="0" w:color="auto"/>
      </w:divBdr>
    </w:div>
    <w:div w:id="1240676632">
      <w:bodyDiv w:val="1"/>
      <w:marLeft w:val="0"/>
      <w:marRight w:val="0"/>
      <w:marTop w:val="0"/>
      <w:marBottom w:val="0"/>
      <w:divBdr>
        <w:top w:val="none" w:sz="0" w:space="0" w:color="auto"/>
        <w:left w:val="none" w:sz="0" w:space="0" w:color="auto"/>
        <w:bottom w:val="none" w:sz="0" w:space="0" w:color="auto"/>
        <w:right w:val="none" w:sz="0" w:space="0" w:color="auto"/>
      </w:divBdr>
    </w:div>
    <w:div w:id="1259604646">
      <w:bodyDiv w:val="1"/>
      <w:marLeft w:val="0"/>
      <w:marRight w:val="0"/>
      <w:marTop w:val="0"/>
      <w:marBottom w:val="0"/>
      <w:divBdr>
        <w:top w:val="none" w:sz="0" w:space="0" w:color="auto"/>
        <w:left w:val="none" w:sz="0" w:space="0" w:color="auto"/>
        <w:bottom w:val="none" w:sz="0" w:space="0" w:color="auto"/>
        <w:right w:val="none" w:sz="0" w:space="0" w:color="auto"/>
      </w:divBdr>
    </w:div>
    <w:div w:id="1269115763">
      <w:bodyDiv w:val="1"/>
      <w:marLeft w:val="0"/>
      <w:marRight w:val="0"/>
      <w:marTop w:val="0"/>
      <w:marBottom w:val="0"/>
      <w:divBdr>
        <w:top w:val="none" w:sz="0" w:space="0" w:color="auto"/>
        <w:left w:val="none" w:sz="0" w:space="0" w:color="auto"/>
        <w:bottom w:val="none" w:sz="0" w:space="0" w:color="auto"/>
        <w:right w:val="none" w:sz="0" w:space="0" w:color="auto"/>
      </w:divBdr>
      <w:divsChild>
        <w:div w:id="1664970411">
          <w:marLeft w:val="0"/>
          <w:marRight w:val="0"/>
          <w:marTop w:val="0"/>
          <w:marBottom w:val="0"/>
          <w:divBdr>
            <w:top w:val="none" w:sz="0" w:space="0" w:color="auto"/>
            <w:left w:val="none" w:sz="0" w:space="0" w:color="auto"/>
            <w:bottom w:val="none" w:sz="0" w:space="0" w:color="auto"/>
            <w:right w:val="none" w:sz="0" w:space="0" w:color="auto"/>
          </w:divBdr>
          <w:divsChild>
            <w:div w:id="514462994">
              <w:marLeft w:val="0"/>
              <w:marRight w:val="0"/>
              <w:marTop w:val="0"/>
              <w:marBottom w:val="0"/>
              <w:divBdr>
                <w:top w:val="none" w:sz="0" w:space="0" w:color="auto"/>
                <w:left w:val="none" w:sz="0" w:space="0" w:color="auto"/>
                <w:bottom w:val="none" w:sz="0" w:space="0" w:color="auto"/>
                <w:right w:val="none" w:sz="0" w:space="0" w:color="auto"/>
              </w:divBdr>
              <w:divsChild>
                <w:div w:id="108665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7353">
      <w:bodyDiv w:val="1"/>
      <w:marLeft w:val="0"/>
      <w:marRight w:val="0"/>
      <w:marTop w:val="0"/>
      <w:marBottom w:val="0"/>
      <w:divBdr>
        <w:top w:val="none" w:sz="0" w:space="0" w:color="auto"/>
        <w:left w:val="none" w:sz="0" w:space="0" w:color="auto"/>
        <w:bottom w:val="none" w:sz="0" w:space="0" w:color="auto"/>
        <w:right w:val="none" w:sz="0" w:space="0" w:color="auto"/>
      </w:divBdr>
    </w:div>
    <w:div w:id="1342468669">
      <w:bodyDiv w:val="1"/>
      <w:marLeft w:val="0"/>
      <w:marRight w:val="0"/>
      <w:marTop w:val="0"/>
      <w:marBottom w:val="0"/>
      <w:divBdr>
        <w:top w:val="none" w:sz="0" w:space="0" w:color="auto"/>
        <w:left w:val="none" w:sz="0" w:space="0" w:color="auto"/>
        <w:bottom w:val="none" w:sz="0" w:space="0" w:color="auto"/>
        <w:right w:val="none" w:sz="0" w:space="0" w:color="auto"/>
      </w:divBdr>
    </w:div>
    <w:div w:id="1363557803">
      <w:bodyDiv w:val="1"/>
      <w:marLeft w:val="0"/>
      <w:marRight w:val="0"/>
      <w:marTop w:val="0"/>
      <w:marBottom w:val="0"/>
      <w:divBdr>
        <w:top w:val="none" w:sz="0" w:space="0" w:color="auto"/>
        <w:left w:val="none" w:sz="0" w:space="0" w:color="auto"/>
        <w:bottom w:val="none" w:sz="0" w:space="0" w:color="auto"/>
        <w:right w:val="none" w:sz="0" w:space="0" w:color="auto"/>
      </w:divBdr>
    </w:div>
    <w:div w:id="1398431381">
      <w:bodyDiv w:val="1"/>
      <w:marLeft w:val="0"/>
      <w:marRight w:val="0"/>
      <w:marTop w:val="0"/>
      <w:marBottom w:val="0"/>
      <w:divBdr>
        <w:top w:val="none" w:sz="0" w:space="0" w:color="auto"/>
        <w:left w:val="none" w:sz="0" w:space="0" w:color="auto"/>
        <w:bottom w:val="none" w:sz="0" w:space="0" w:color="auto"/>
        <w:right w:val="none" w:sz="0" w:space="0" w:color="auto"/>
      </w:divBdr>
    </w:div>
    <w:div w:id="1412893675">
      <w:bodyDiv w:val="1"/>
      <w:marLeft w:val="0"/>
      <w:marRight w:val="0"/>
      <w:marTop w:val="0"/>
      <w:marBottom w:val="0"/>
      <w:divBdr>
        <w:top w:val="none" w:sz="0" w:space="0" w:color="auto"/>
        <w:left w:val="none" w:sz="0" w:space="0" w:color="auto"/>
        <w:bottom w:val="none" w:sz="0" w:space="0" w:color="auto"/>
        <w:right w:val="none" w:sz="0" w:space="0" w:color="auto"/>
      </w:divBdr>
    </w:div>
    <w:div w:id="1419863381">
      <w:bodyDiv w:val="1"/>
      <w:marLeft w:val="0"/>
      <w:marRight w:val="0"/>
      <w:marTop w:val="0"/>
      <w:marBottom w:val="0"/>
      <w:divBdr>
        <w:top w:val="none" w:sz="0" w:space="0" w:color="auto"/>
        <w:left w:val="none" w:sz="0" w:space="0" w:color="auto"/>
        <w:bottom w:val="none" w:sz="0" w:space="0" w:color="auto"/>
        <w:right w:val="none" w:sz="0" w:space="0" w:color="auto"/>
      </w:divBdr>
    </w:div>
    <w:div w:id="1421442598">
      <w:bodyDiv w:val="1"/>
      <w:marLeft w:val="0"/>
      <w:marRight w:val="0"/>
      <w:marTop w:val="0"/>
      <w:marBottom w:val="0"/>
      <w:divBdr>
        <w:top w:val="none" w:sz="0" w:space="0" w:color="auto"/>
        <w:left w:val="none" w:sz="0" w:space="0" w:color="auto"/>
        <w:bottom w:val="none" w:sz="0" w:space="0" w:color="auto"/>
        <w:right w:val="none" w:sz="0" w:space="0" w:color="auto"/>
      </w:divBdr>
      <w:divsChild>
        <w:div w:id="1412116842">
          <w:marLeft w:val="0"/>
          <w:marRight w:val="0"/>
          <w:marTop w:val="0"/>
          <w:marBottom w:val="0"/>
          <w:divBdr>
            <w:top w:val="none" w:sz="0" w:space="0" w:color="auto"/>
            <w:left w:val="none" w:sz="0" w:space="0" w:color="auto"/>
            <w:bottom w:val="none" w:sz="0" w:space="0" w:color="auto"/>
            <w:right w:val="none" w:sz="0" w:space="0" w:color="auto"/>
          </w:divBdr>
          <w:divsChild>
            <w:div w:id="1388066929">
              <w:marLeft w:val="0"/>
              <w:marRight w:val="0"/>
              <w:marTop w:val="0"/>
              <w:marBottom w:val="0"/>
              <w:divBdr>
                <w:top w:val="none" w:sz="0" w:space="0" w:color="auto"/>
                <w:left w:val="none" w:sz="0" w:space="0" w:color="auto"/>
                <w:bottom w:val="none" w:sz="0" w:space="0" w:color="auto"/>
                <w:right w:val="none" w:sz="0" w:space="0" w:color="auto"/>
              </w:divBdr>
              <w:divsChild>
                <w:div w:id="128360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818717">
      <w:bodyDiv w:val="1"/>
      <w:marLeft w:val="0"/>
      <w:marRight w:val="0"/>
      <w:marTop w:val="0"/>
      <w:marBottom w:val="0"/>
      <w:divBdr>
        <w:top w:val="none" w:sz="0" w:space="0" w:color="auto"/>
        <w:left w:val="none" w:sz="0" w:space="0" w:color="auto"/>
        <w:bottom w:val="none" w:sz="0" w:space="0" w:color="auto"/>
        <w:right w:val="none" w:sz="0" w:space="0" w:color="auto"/>
      </w:divBdr>
    </w:div>
    <w:div w:id="1442333333">
      <w:bodyDiv w:val="1"/>
      <w:marLeft w:val="0"/>
      <w:marRight w:val="0"/>
      <w:marTop w:val="0"/>
      <w:marBottom w:val="0"/>
      <w:divBdr>
        <w:top w:val="none" w:sz="0" w:space="0" w:color="auto"/>
        <w:left w:val="none" w:sz="0" w:space="0" w:color="auto"/>
        <w:bottom w:val="none" w:sz="0" w:space="0" w:color="auto"/>
        <w:right w:val="none" w:sz="0" w:space="0" w:color="auto"/>
      </w:divBdr>
      <w:divsChild>
        <w:div w:id="1461268435">
          <w:marLeft w:val="0"/>
          <w:marRight w:val="0"/>
          <w:marTop w:val="0"/>
          <w:marBottom w:val="0"/>
          <w:divBdr>
            <w:top w:val="none" w:sz="0" w:space="0" w:color="auto"/>
            <w:left w:val="none" w:sz="0" w:space="0" w:color="auto"/>
            <w:bottom w:val="none" w:sz="0" w:space="0" w:color="auto"/>
            <w:right w:val="none" w:sz="0" w:space="0" w:color="auto"/>
          </w:divBdr>
          <w:divsChild>
            <w:div w:id="2009819612">
              <w:marLeft w:val="0"/>
              <w:marRight w:val="0"/>
              <w:marTop w:val="0"/>
              <w:marBottom w:val="0"/>
              <w:divBdr>
                <w:top w:val="none" w:sz="0" w:space="0" w:color="auto"/>
                <w:left w:val="none" w:sz="0" w:space="0" w:color="auto"/>
                <w:bottom w:val="none" w:sz="0" w:space="0" w:color="auto"/>
                <w:right w:val="none" w:sz="0" w:space="0" w:color="auto"/>
              </w:divBdr>
              <w:divsChild>
                <w:div w:id="19295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10273">
      <w:bodyDiv w:val="1"/>
      <w:marLeft w:val="0"/>
      <w:marRight w:val="0"/>
      <w:marTop w:val="0"/>
      <w:marBottom w:val="0"/>
      <w:divBdr>
        <w:top w:val="none" w:sz="0" w:space="0" w:color="auto"/>
        <w:left w:val="none" w:sz="0" w:space="0" w:color="auto"/>
        <w:bottom w:val="none" w:sz="0" w:space="0" w:color="auto"/>
        <w:right w:val="none" w:sz="0" w:space="0" w:color="auto"/>
      </w:divBdr>
    </w:div>
    <w:div w:id="1467579628">
      <w:bodyDiv w:val="1"/>
      <w:marLeft w:val="0"/>
      <w:marRight w:val="0"/>
      <w:marTop w:val="0"/>
      <w:marBottom w:val="0"/>
      <w:divBdr>
        <w:top w:val="none" w:sz="0" w:space="0" w:color="auto"/>
        <w:left w:val="none" w:sz="0" w:space="0" w:color="auto"/>
        <w:bottom w:val="none" w:sz="0" w:space="0" w:color="auto"/>
        <w:right w:val="none" w:sz="0" w:space="0" w:color="auto"/>
      </w:divBdr>
    </w:div>
    <w:div w:id="1468862748">
      <w:bodyDiv w:val="1"/>
      <w:marLeft w:val="0"/>
      <w:marRight w:val="0"/>
      <w:marTop w:val="0"/>
      <w:marBottom w:val="0"/>
      <w:divBdr>
        <w:top w:val="none" w:sz="0" w:space="0" w:color="auto"/>
        <w:left w:val="none" w:sz="0" w:space="0" w:color="auto"/>
        <w:bottom w:val="none" w:sz="0" w:space="0" w:color="auto"/>
        <w:right w:val="none" w:sz="0" w:space="0" w:color="auto"/>
      </w:divBdr>
      <w:divsChild>
        <w:div w:id="529874544">
          <w:marLeft w:val="0"/>
          <w:marRight w:val="0"/>
          <w:marTop w:val="0"/>
          <w:marBottom w:val="0"/>
          <w:divBdr>
            <w:top w:val="none" w:sz="0" w:space="0" w:color="auto"/>
            <w:left w:val="none" w:sz="0" w:space="0" w:color="auto"/>
            <w:bottom w:val="none" w:sz="0" w:space="0" w:color="auto"/>
            <w:right w:val="none" w:sz="0" w:space="0" w:color="auto"/>
          </w:divBdr>
          <w:divsChild>
            <w:div w:id="786967159">
              <w:marLeft w:val="0"/>
              <w:marRight w:val="0"/>
              <w:marTop w:val="0"/>
              <w:marBottom w:val="0"/>
              <w:divBdr>
                <w:top w:val="none" w:sz="0" w:space="0" w:color="auto"/>
                <w:left w:val="none" w:sz="0" w:space="0" w:color="auto"/>
                <w:bottom w:val="none" w:sz="0" w:space="0" w:color="auto"/>
                <w:right w:val="none" w:sz="0" w:space="0" w:color="auto"/>
              </w:divBdr>
              <w:divsChild>
                <w:div w:id="42627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139154">
      <w:bodyDiv w:val="1"/>
      <w:marLeft w:val="0"/>
      <w:marRight w:val="0"/>
      <w:marTop w:val="0"/>
      <w:marBottom w:val="0"/>
      <w:divBdr>
        <w:top w:val="none" w:sz="0" w:space="0" w:color="auto"/>
        <w:left w:val="none" w:sz="0" w:space="0" w:color="auto"/>
        <w:bottom w:val="none" w:sz="0" w:space="0" w:color="auto"/>
        <w:right w:val="none" w:sz="0" w:space="0" w:color="auto"/>
      </w:divBdr>
    </w:div>
    <w:div w:id="1478185506">
      <w:bodyDiv w:val="1"/>
      <w:marLeft w:val="0"/>
      <w:marRight w:val="0"/>
      <w:marTop w:val="0"/>
      <w:marBottom w:val="0"/>
      <w:divBdr>
        <w:top w:val="none" w:sz="0" w:space="0" w:color="auto"/>
        <w:left w:val="none" w:sz="0" w:space="0" w:color="auto"/>
        <w:bottom w:val="none" w:sz="0" w:space="0" w:color="auto"/>
        <w:right w:val="none" w:sz="0" w:space="0" w:color="auto"/>
      </w:divBdr>
      <w:divsChild>
        <w:div w:id="649361324">
          <w:marLeft w:val="0"/>
          <w:marRight w:val="0"/>
          <w:marTop w:val="0"/>
          <w:marBottom w:val="0"/>
          <w:divBdr>
            <w:top w:val="none" w:sz="0" w:space="0" w:color="auto"/>
            <w:left w:val="none" w:sz="0" w:space="0" w:color="auto"/>
            <w:bottom w:val="none" w:sz="0" w:space="0" w:color="auto"/>
            <w:right w:val="none" w:sz="0" w:space="0" w:color="auto"/>
          </w:divBdr>
        </w:div>
        <w:div w:id="504318583">
          <w:marLeft w:val="0"/>
          <w:marRight w:val="0"/>
          <w:marTop w:val="0"/>
          <w:marBottom w:val="0"/>
          <w:divBdr>
            <w:top w:val="none" w:sz="0" w:space="0" w:color="auto"/>
            <w:left w:val="none" w:sz="0" w:space="0" w:color="auto"/>
            <w:bottom w:val="none" w:sz="0" w:space="0" w:color="auto"/>
            <w:right w:val="none" w:sz="0" w:space="0" w:color="auto"/>
          </w:divBdr>
        </w:div>
      </w:divsChild>
    </w:div>
    <w:div w:id="1485195118">
      <w:bodyDiv w:val="1"/>
      <w:marLeft w:val="0"/>
      <w:marRight w:val="0"/>
      <w:marTop w:val="0"/>
      <w:marBottom w:val="0"/>
      <w:divBdr>
        <w:top w:val="none" w:sz="0" w:space="0" w:color="auto"/>
        <w:left w:val="none" w:sz="0" w:space="0" w:color="auto"/>
        <w:bottom w:val="none" w:sz="0" w:space="0" w:color="auto"/>
        <w:right w:val="none" w:sz="0" w:space="0" w:color="auto"/>
      </w:divBdr>
      <w:divsChild>
        <w:div w:id="1074158878">
          <w:marLeft w:val="0"/>
          <w:marRight w:val="0"/>
          <w:marTop w:val="0"/>
          <w:marBottom w:val="0"/>
          <w:divBdr>
            <w:top w:val="none" w:sz="0" w:space="0" w:color="auto"/>
            <w:left w:val="none" w:sz="0" w:space="0" w:color="auto"/>
            <w:bottom w:val="none" w:sz="0" w:space="0" w:color="auto"/>
            <w:right w:val="none" w:sz="0" w:space="0" w:color="auto"/>
          </w:divBdr>
          <w:divsChild>
            <w:div w:id="2073650608">
              <w:marLeft w:val="0"/>
              <w:marRight w:val="0"/>
              <w:marTop w:val="0"/>
              <w:marBottom w:val="0"/>
              <w:divBdr>
                <w:top w:val="none" w:sz="0" w:space="0" w:color="auto"/>
                <w:left w:val="none" w:sz="0" w:space="0" w:color="auto"/>
                <w:bottom w:val="none" w:sz="0" w:space="0" w:color="auto"/>
                <w:right w:val="none" w:sz="0" w:space="0" w:color="auto"/>
              </w:divBdr>
              <w:divsChild>
                <w:div w:id="138244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457146">
      <w:bodyDiv w:val="1"/>
      <w:marLeft w:val="0"/>
      <w:marRight w:val="0"/>
      <w:marTop w:val="0"/>
      <w:marBottom w:val="0"/>
      <w:divBdr>
        <w:top w:val="none" w:sz="0" w:space="0" w:color="auto"/>
        <w:left w:val="none" w:sz="0" w:space="0" w:color="auto"/>
        <w:bottom w:val="none" w:sz="0" w:space="0" w:color="auto"/>
        <w:right w:val="none" w:sz="0" w:space="0" w:color="auto"/>
      </w:divBdr>
    </w:div>
    <w:div w:id="1514224251">
      <w:bodyDiv w:val="1"/>
      <w:marLeft w:val="0"/>
      <w:marRight w:val="0"/>
      <w:marTop w:val="0"/>
      <w:marBottom w:val="0"/>
      <w:divBdr>
        <w:top w:val="none" w:sz="0" w:space="0" w:color="auto"/>
        <w:left w:val="none" w:sz="0" w:space="0" w:color="auto"/>
        <w:bottom w:val="none" w:sz="0" w:space="0" w:color="auto"/>
        <w:right w:val="none" w:sz="0" w:space="0" w:color="auto"/>
      </w:divBdr>
    </w:div>
    <w:div w:id="1530215231">
      <w:bodyDiv w:val="1"/>
      <w:marLeft w:val="0"/>
      <w:marRight w:val="0"/>
      <w:marTop w:val="0"/>
      <w:marBottom w:val="0"/>
      <w:divBdr>
        <w:top w:val="none" w:sz="0" w:space="0" w:color="auto"/>
        <w:left w:val="none" w:sz="0" w:space="0" w:color="auto"/>
        <w:bottom w:val="none" w:sz="0" w:space="0" w:color="auto"/>
        <w:right w:val="none" w:sz="0" w:space="0" w:color="auto"/>
      </w:divBdr>
    </w:div>
    <w:div w:id="1568343431">
      <w:bodyDiv w:val="1"/>
      <w:marLeft w:val="0"/>
      <w:marRight w:val="0"/>
      <w:marTop w:val="0"/>
      <w:marBottom w:val="0"/>
      <w:divBdr>
        <w:top w:val="none" w:sz="0" w:space="0" w:color="auto"/>
        <w:left w:val="none" w:sz="0" w:space="0" w:color="auto"/>
        <w:bottom w:val="none" w:sz="0" w:space="0" w:color="auto"/>
        <w:right w:val="none" w:sz="0" w:space="0" w:color="auto"/>
      </w:divBdr>
    </w:div>
    <w:div w:id="1572957805">
      <w:bodyDiv w:val="1"/>
      <w:marLeft w:val="0"/>
      <w:marRight w:val="0"/>
      <w:marTop w:val="0"/>
      <w:marBottom w:val="0"/>
      <w:divBdr>
        <w:top w:val="none" w:sz="0" w:space="0" w:color="auto"/>
        <w:left w:val="none" w:sz="0" w:space="0" w:color="auto"/>
        <w:bottom w:val="none" w:sz="0" w:space="0" w:color="auto"/>
        <w:right w:val="none" w:sz="0" w:space="0" w:color="auto"/>
      </w:divBdr>
      <w:divsChild>
        <w:div w:id="729429058">
          <w:marLeft w:val="0"/>
          <w:marRight w:val="0"/>
          <w:marTop w:val="0"/>
          <w:marBottom w:val="0"/>
          <w:divBdr>
            <w:top w:val="none" w:sz="0" w:space="0" w:color="auto"/>
            <w:left w:val="none" w:sz="0" w:space="0" w:color="auto"/>
            <w:bottom w:val="none" w:sz="0" w:space="0" w:color="auto"/>
            <w:right w:val="none" w:sz="0" w:space="0" w:color="auto"/>
          </w:divBdr>
          <w:divsChild>
            <w:div w:id="365374942">
              <w:marLeft w:val="0"/>
              <w:marRight w:val="0"/>
              <w:marTop w:val="0"/>
              <w:marBottom w:val="0"/>
              <w:divBdr>
                <w:top w:val="none" w:sz="0" w:space="0" w:color="auto"/>
                <w:left w:val="none" w:sz="0" w:space="0" w:color="auto"/>
                <w:bottom w:val="none" w:sz="0" w:space="0" w:color="auto"/>
                <w:right w:val="none" w:sz="0" w:space="0" w:color="auto"/>
              </w:divBdr>
              <w:divsChild>
                <w:div w:id="16846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41776">
      <w:bodyDiv w:val="1"/>
      <w:marLeft w:val="0"/>
      <w:marRight w:val="0"/>
      <w:marTop w:val="0"/>
      <w:marBottom w:val="0"/>
      <w:divBdr>
        <w:top w:val="none" w:sz="0" w:space="0" w:color="auto"/>
        <w:left w:val="none" w:sz="0" w:space="0" w:color="auto"/>
        <w:bottom w:val="none" w:sz="0" w:space="0" w:color="auto"/>
        <w:right w:val="none" w:sz="0" w:space="0" w:color="auto"/>
      </w:divBdr>
    </w:div>
    <w:div w:id="1605116247">
      <w:bodyDiv w:val="1"/>
      <w:marLeft w:val="0"/>
      <w:marRight w:val="0"/>
      <w:marTop w:val="0"/>
      <w:marBottom w:val="0"/>
      <w:divBdr>
        <w:top w:val="none" w:sz="0" w:space="0" w:color="auto"/>
        <w:left w:val="none" w:sz="0" w:space="0" w:color="auto"/>
        <w:bottom w:val="none" w:sz="0" w:space="0" w:color="auto"/>
        <w:right w:val="none" w:sz="0" w:space="0" w:color="auto"/>
      </w:divBdr>
      <w:divsChild>
        <w:div w:id="576400072">
          <w:marLeft w:val="0"/>
          <w:marRight w:val="0"/>
          <w:marTop w:val="0"/>
          <w:marBottom w:val="0"/>
          <w:divBdr>
            <w:top w:val="none" w:sz="0" w:space="0" w:color="auto"/>
            <w:left w:val="none" w:sz="0" w:space="0" w:color="auto"/>
            <w:bottom w:val="none" w:sz="0" w:space="0" w:color="auto"/>
            <w:right w:val="none" w:sz="0" w:space="0" w:color="auto"/>
          </w:divBdr>
          <w:divsChild>
            <w:div w:id="1166671896">
              <w:marLeft w:val="0"/>
              <w:marRight w:val="0"/>
              <w:marTop w:val="0"/>
              <w:marBottom w:val="0"/>
              <w:divBdr>
                <w:top w:val="none" w:sz="0" w:space="0" w:color="auto"/>
                <w:left w:val="none" w:sz="0" w:space="0" w:color="auto"/>
                <w:bottom w:val="none" w:sz="0" w:space="0" w:color="auto"/>
                <w:right w:val="none" w:sz="0" w:space="0" w:color="auto"/>
              </w:divBdr>
              <w:divsChild>
                <w:div w:id="23304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833247">
      <w:bodyDiv w:val="1"/>
      <w:marLeft w:val="0"/>
      <w:marRight w:val="0"/>
      <w:marTop w:val="0"/>
      <w:marBottom w:val="0"/>
      <w:divBdr>
        <w:top w:val="none" w:sz="0" w:space="0" w:color="auto"/>
        <w:left w:val="none" w:sz="0" w:space="0" w:color="auto"/>
        <w:bottom w:val="none" w:sz="0" w:space="0" w:color="auto"/>
        <w:right w:val="none" w:sz="0" w:space="0" w:color="auto"/>
      </w:divBdr>
    </w:div>
    <w:div w:id="1654023265">
      <w:bodyDiv w:val="1"/>
      <w:marLeft w:val="0"/>
      <w:marRight w:val="0"/>
      <w:marTop w:val="0"/>
      <w:marBottom w:val="0"/>
      <w:divBdr>
        <w:top w:val="none" w:sz="0" w:space="0" w:color="auto"/>
        <w:left w:val="none" w:sz="0" w:space="0" w:color="auto"/>
        <w:bottom w:val="none" w:sz="0" w:space="0" w:color="auto"/>
        <w:right w:val="none" w:sz="0" w:space="0" w:color="auto"/>
      </w:divBdr>
      <w:divsChild>
        <w:div w:id="510726858">
          <w:marLeft w:val="0"/>
          <w:marRight w:val="0"/>
          <w:marTop w:val="0"/>
          <w:marBottom w:val="0"/>
          <w:divBdr>
            <w:top w:val="none" w:sz="0" w:space="0" w:color="auto"/>
            <w:left w:val="none" w:sz="0" w:space="0" w:color="auto"/>
            <w:bottom w:val="none" w:sz="0" w:space="0" w:color="auto"/>
            <w:right w:val="none" w:sz="0" w:space="0" w:color="auto"/>
          </w:divBdr>
          <w:divsChild>
            <w:div w:id="1273904490">
              <w:marLeft w:val="0"/>
              <w:marRight w:val="0"/>
              <w:marTop w:val="0"/>
              <w:marBottom w:val="0"/>
              <w:divBdr>
                <w:top w:val="none" w:sz="0" w:space="0" w:color="auto"/>
                <w:left w:val="none" w:sz="0" w:space="0" w:color="auto"/>
                <w:bottom w:val="none" w:sz="0" w:space="0" w:color="auto"/>
                <w:right w:val="none" w:sz="0" w:space="0" w:color="auto"/>
              </w:divBdr>
              <w:divsChild>
                <w:div w:id="20926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348472">
      <w:bodyDiv w:val="1"/>
      <w:marLeft w:val="0"/>
      <w:marRight w:val="0"/>
      <w:marTop w:val="0"/>
      <w:marBottom w:val="0"/>
      <w:divBdr>
        <w:top w:val="none" w:sz="0" w:space="0" w:color="auto"/>
        <w:left w:val="none" w:sz="0" w:space="0" w:color="auto"/>
        <w:bottom w:val="none" w:sz="0" w:space="0" w:color="auto"/>
        <w:right w:val="none" w:sz="0" w:space="0" w:color="auto"/>
      </w:divBdr>
    </w:div>
    <w:div w:id="1689256373">
      <w:bodyDiv w:val="1"/>
      <w:marLeft w:val="0"/>
      <w:marRight w:val="0"/>
      <w:marTop w:val="0"/>
      <w:marBottom w:val="0"/>
      <w:divBdr>
        <w:top w:val="none" w:sz="0" w:space="0" w:color="auto"/>
        <w:left w:val="none" w:sz="0" w:space="0" w:color="auto"/>
        <w:bottom w:val="none" w:sz="0" w:space="0" w:color="auto"/>
        <w:right w:val="none" w:sz="0" w:space="0" w:color="auto"/>
      </w:divBdr>
    </w:div>
    <w:div w:id="1696347699">
      <w:bodyDiv w:val="1"/>
      <w:marLeft w:val="0"/>
      <w:marRight w:val="0"/>
      <w:marTop w:val="0"/>
      <w:marBottom w:val="0"/>
      <w:divBdr>
        <w:top w:val="none" w:sz="0" w:space="0" w:color="auto"/>
        <w:left w:val="none" w:sz="0" w:space="0" w:color="auto"/>
        <w:bottom w:val="none" w:sz="0" w:space="0" w:color="auto"/>
        <w:right w:val="none" w:sz="0" w:space="0" w:color="auto"/>
      </w:divBdr>
    </w:div>
    <w:div w:id="1711610467">
      <w:bodyDiv w:val="1"/>
      <w:marLeft w:val="0"/>
      <w:marRight w:val="0"/>
      <w:marTop w:val="0"/>
      <w:marBottom w:val="0"/>
      <w:divBdr>
        <w:top w:val="none" w:sz="0" w:space="0" w:color="auto"/>
        <w:left w:val="none" w:sz="0" w:space="0" w:color="auto"/>
        <w:bottom w:val="none" w:sz="0" w:space="0" w:color="auto"/>
        <w:right w:val="none" w:sz="0" w:space="0" w:color="auto"/>
      </w:divBdr>
    </w:div>
    <w:div w:id="1712998962">
      <w:bodyDiv w:val="1"/>
      <w:marLeft w:val="0"/>
      <w:marRight w:val="0"/>
      <w:marTop w:val="0"/>
      <w:marBottom w:val="0"/>
      <w:divBdr>
        <w:top w:val="none" w:sz="0" w:space="0" w:color="auto"/>
        <w:left w:val="none" w:sz="0" w:space="0" w:color="auto"/>
        <w:bottom w:val="none" w:sz="0" w:space="0" w:color="auto"/>
        <w:right w:val="none" w:sz="0" w:space="0" w:color="auto"/>
      </w:divBdr>
      <w:divsChild>
        <w:div w:id="507789115">
          <w:marLeft w:val="0"/>
          <w:marRight w:val="0"/>
          <w:marTop w:val="0"/>
          <w:marBottom w:val="0"/>
          <w:divBdr>
            <w:top w:val="none" w:sz="0" w:space="0" w:color="auto"/>
            <w:left w:val="none" w:sz="0" w:space="0" w:color="auto"/>
            <w:bottom w:val="none" w:sz="0" w:space="0" w:color="auto"/>
            <w:right w:val="none" w:sz="0" w:space="0" w:color="auto"/>
          </w:divBdr>
          <w:divsChild>
            <w:div w:id="136924656">
              <w:marLeft w:val="0"/>
              <w:marRight w:val="0"/>
              <w:marTop w:val="0"/>
              <w:marBottom w:val="0"/>
              <w:divBdr>
                <w:top w:val="none" w:sz="0" w:space="0" w:color="auto"/>
                <w:left w:val="none" w:sz="0" w:space="0" w:color="auto"/>
                <w:bottom w:val="none" w:sz="0" w:space="0" w:color="auto"/>
                <w:right w:val="none" w:sz="0" w:space="0" w:color="auto"/>
              </w:divBdr>
              <w:divsChild>
                <w:div w:id="194911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902716">
      <w:bodyDiv w:val="1"/>
      <w:marLeft w:val="0"/>
      <w:marRight w:val="0"/>
      <w:marTop w:val="0"/>
      <w:marBottom w:val="0"/>
      <w:divBdr>
        <w:top w:val="none" w:sz="0" w:space="0" w:color="auto"/>
        <w:left w:val="none" w:sz="0" w:space="0" w:color="auto"/>
        <w:bottom w:val="none" w:sz="0" w:space="0" w:color="auto"/>
        <w:right w:val="none" w:sz="0" w:space="0" w:color="auto"/>
      </w:divBdr>
    </w:div>
    <w:div w:id="1727680221">
      <w:bodyDiv w:val="1"/>
      <w:marLeft w:val="0"/>
      <w:marRight w:val="0"/>
      <w:marTop w:val="0"/>
      <w:marBottom w:val="0"/>
      <w:divBdr>
        <w:top w:val="none" w:sz="0" w:space="0" w:color="auto"/>
        <w:left w:val="none" w:sz="0" w:space="0" w:color="auto"/>
        <w:bottom w:val="none" w:sz="0" w:space="0" w:color="auto"/>
        <w:right w:val="none" w:sz="0" w:space="0" w:color="auto"/>
      </w:divBdr>
    </w:div>
    <w:div w:id="1739938294">
      <w:bodyDiv w:val="1"/>
      <w:marLeft w:val="0"/>
      <w:marRight w:val="0"/>
      <w:marTop w:val="0"/>
      <w:marBottom w:val="0"/>
      <w:divBdr>
        <w:top w:val="none" w:sz="0" w:space="0" w:color="auto"/>
        <w:left w:val="none" w:sz="0" w:space="0" w:color="auto"/>
        <w:bottom w:val="none" w:sz="0" w:space="0" w:color="auto"/>
        <w:right w:val="none" w:sz="0" w:space="0" w:color="auto"/>
      </w:divBdr>
    </w:div>
    <w:div w:id="1781292074">
      <w:bodyDiv w:val="1"/>
      <w:marLeft w:val="0"/>
      <w:marRight w:val="0"/>
      <w:marTop w:val="0"/>
      <w:marBottom w:val="0"/>
      <w:divBdr>
        <w:top w:val="none" w:sz="0" w:space="0" w:color="auto"/>
        <w:left w:val="none" w:sz="0" w:space="0" w:color="auto"/>
        <w:bottom w:val="none" w:sz="0" w:space="0" w:color="auto"/>
        <w:right w:val="none" w:sz="0" w:space="0" w:color="auto"/>
      </w:divBdr>
    </w:div>
    <w:div w:id="1785032860">
      <w:bodyDiv w:val="1"/>
      <w:marLeft w:val="0"/>
      <w:marRight w:val="0"/>
      <w:marTop w:val="0"/>
      <w:marBottom w:val="0"/>
      <w:divBdr>
        <w:top w:val="none" w:sz="0" w:space="0" w:color="auto"/>
        <w:left w:val="none" w:sz="0" w:space="0" w:color="auto"/>
        <w:bottom w:val="none" w:sz="0" w:space="0" w:color="auto"/>
        <w:right w:val="none" w:sz="0" w:space="0" w:color="auto"/>
      </w:divBdr>
    </w:div>
    <w:div w:id="1790705692">
      <w:bodyDiv w:val="1"/>
      <w:marLeft w:val="0"/>
      <w:marRight w:val="0"/>
      <w:marTop w:val="0"/>
      <w:marBottom w:val="0"/>
      <w:divBdr>
        <w:top w:val="none" w:sz="0" w:space="0" w:color="auto"/>
        <w:left w:val="none" w:sz="0" w:space="0" w:color="auto"/>
        <w:bottom w:val="none" w:sz="0" w:space="0" w:color="auto"/>
        <w:right w:val="none" w:sz="0" w:space="0" w:color="auto"/>
      </w:divBdr>
      <w:divsChild>
        <w:div w:id="1762604635">
          <w:marLeft w:val="0"/>
          <w:marRight w:val="0"/>
          <w:marTop w:val="0"/>
          <w:marBottom w:val="0"/>
          <w:divBdr>
            <w:top w:val="none" w:sz="0" w:space="0" w:color="auto"/>
            <w:left w:val="none" w:sz="0" w:space="0" w:color="auto"/>
            <w:bottom w:val="none" w:sz="0" w:space="0" w:color="auto"/>
            <w:right w:val="none" w:sz="0" w:space="0" w:color="auto"/>
          </w:divBdr>
          <w:divsChild>
            <w:div w:id="709958530">
              <w:marLeft w:val="0"/>
              <w:marRight w:val="0"/>
              <w:marTop w:val="0"/>
              <w:marBottom w:val="0"/>
              <w:divBdr>
                <w:top w:val="none" w:sz="0" w:space="0" w:color="auto"/>
                <w:left w:val="none" w:sz="0" w:space="0" w:color="auto"/>
                <w:bottom w:val="none" w:sz="0" w:space="0" w:color="auto"/>
                <w:right w:val="none" w:sz="0" w:space="0" w:color="auto"/>
              </w:divBdr>
              <w:divsChild>
                <w:div w:id="161972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170455">
      <w:bodyDiv w:val="1"/>
      <w:marLeft w:val="0"/>
      <w:marRight w:val="0"/>
      <w:marTop w:val="0"/>
      <w:marBottom w:val="0"/>
      <w:divBdr>
        <w:top w:val="none" w:sz="0" w:space="0" w:color="auto"/>
        <w:left w:val="none" w:sz="0" w:space="0" w:color="auto"/>
        <w:bottom w:val="none" w:sz="0" w:space="0" w:color="auto"/>
        <w:right w:val="none" w:sz="0" w:space="0" w:color="auto"/>
      </w:divBdr>
    </w:div>
    <w:div w:id="1809741515">
      <w:bodyDiv w:val="1"/>
      <w:marLeft w:val="0"/>
      <w:marRight w:val="0"/>
      <w:marTop w:val="0"/>
      <w:marBottom w:val="0"/>
      <w:divBdr>
        <w:top w:val="none" w:sz="0" w:space="0" w:color="auto"/>
        <w:left w:val="none" w:sz="0" w:space="0" w:color="auto"/>
        <w:bottom w:val="none" w:sz="0" w:space="0" w:color="auto"/>
        <w:right w:val="none" w:sz="0" w:space="0" w:color="auto"/>
      </w:divBdr>
    </w:div>
    <w:div w:id="1810587049">
      <w:bodyDiv w:val="1"/>
      <w:marLeft w:val="0"/>
      <w:marRight w:val="0"/>
      <w:marTop w:val="0"/>
      <w:marBottom w:val="0"/>
      <w:divBdr>
        <w:top w:val="none" w:sz="0" w:space="0" w:color="auto"/>
        <w:left w:val="none" w:sz="0" w:space="0" w:color="auto"/>
        <w:bottom w:val="none" w:sz="0" w:space="0" w:color="auto"/>
        <w:right w:val="none" w:sz="0" w:space="0" w:color="auto"/>
      </w:divBdr>
      <w:divsChild>
        <w:div w:id="40905837">
          <w:marLeft w:val="0"/>
          <w:marRight w:val="0"/>
          <w:marTop w:val="0"/>
          <w:marBottom w:val="0"/>
          <w:divBdr>
            <w:top w:val="none" w:sz="0" w:space="0" w:color="auto"/>
            <w:left w:val="none" w:sz="0" w:space="0" w:color="auto"/>
            <w:bottom w:val="none" w:sz="0" w:space="0" w:color="auto"/>
            <w:right w:val="none" w:sz="0" w:space="0" w:color="auto"/>
          </w:divBdr>
          <w:divsChild>
            <w:div w:id="368533651">
              <w:marLeft w:val="0"/>
              <w:marRight w:val="0"/>
              <w:marTop w:val="0"/>
              <w:marBottom w:val="0"/>
              <w:divBdr>
                <w:top w:val="none" w:sz="0" w:space="0" w:color="auto"/>
                <w:left w:val="none" w:sz="0" w:space="0" w:color="auto"/>
                <w:bottom w:val="none" w:sz="0" w:space="0" w:color="auto"/>
                <w:right w:val="none" w:sz="0" w:space="0" w:color="auto"/>
              </w:divBdr>
              <w:divsChild>
                <w:div w:id="1983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800085">
      <w:bodyDiv w:val="1"/>
      <w:marLeft w:val="0"/>
      <w:marRight w:val="0"/>
      <w:marTop w:val="0"/>
      <w:marBottom w:val="0"/>
      <w:divBdr>
        <w:top w:val="none" w:sz="0" w:space="0" w:color="auto"/>
        <w:left w:val="none" w:sz="0" w:space="0" w:color="auto"/>
        <w:bottom w:val="none" w:sz="0" w:space="0" w:color="auto"/>
        <w:right w:val="none" w:sz="0" w:space="0" w:color="auto"/>
      </w:divBdr>
    </w:div>
    <w:div w:id="1839074581">
      <w:bodyDiv w:val="1"/>
      <w:marLeft w:val="0"/>
      <w:marRight w:val="0"/>
      <w:marTop w:val="0"/>
      <w:marBottom w:val="0"/>
      <w:divBdr>
        <w:top w:val="none" w:sz="0" w:space="0" w:color="auto"/>
        <w:left w:val="none" w:sz="0" w:space="0" w:color="auto"/>
        <w:bottom w:val="none" w:sz="0" w:space="0" w:color="auto"/>
        <w:right w:val="none" w:sz="0" w:space="0" w:color="auto"/>
      </w:divBdr>
      <w:divsChild>
        <w:div w:id="561216670">
          <w:marLeft w:val="0"/>
          <w:marRight w:val="0"/>
          <w:marTop w:val="0"/>
          <w:marBottom w:val="0"/>
          <w:divBdr>
            <w:top w:val="none" w:sz="0" w:space="0" w:color="auto"/>
            <w:left w:val="none" w:sz="0" w:space="0" w:color="auto"/>
            <w:bottom w:val="none" w:sz="0" w:space="0" w:color="auto"/>
            <w:right w:val="none" w:sz="0" w:space="0" w:color="auto"/>
          </w:divBdr>
          <w:divsChild>
            <w:div w:id="1138717491">
              <w:marLeft w:val="0"/>
              <w:marRight w:val="0"/>
              <w:marTop w:val="0"/>
              <w:marBottom w:val="0"/>
              <w:divBdr>
                <w:top w:val="none" w:sz="0" w:space="0" w:color="auto"/>
                <w:left w:val="none" w:sz="0" w:space="0" w:color="auto"/>
                <w:bottom w:val="none" w:sz="0" w:space="0" w:color="auto"/>
                <w:right w:val="none" w:sz="0" w:space="0" w:color="auto"/>
              </w:divBdr>
              <w:divsChild>
                <w:div w:id="599608010">
                  <w:marLeft w:val="0"/>
                  <w:marRight w:val="0"/>
                  <w:marTop w:val="0"/>
                  <w:marBottom w:val="0"/>
                  <w:divBdr>
                    <w:top w:val="none" w:sz="0" w:space="0" w:color="auto"/>
                    <w:left w:val="none" w:sz="0" w:space="0" w:color="auto"/>
                    <w:bottom w:val="none" w:sz="0" w:space="0" w:color="auto"/>
                    <w:right w:val="none" w:sz="0" w:space="0" w:color="auto"/>
                  </w:divBdr>
                  <w:divsChild>
                    <w:div w:id="9004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087034">
      <w:bodyDiv w:val="1"/>
      <w:marLeft w:val="0"/>
      <w:marRight w:val="0"/>
      <w:marTop w:val="0"/>
      <w:marBottom w:val="0"/>
      <w:divBdr>
        <w:top w:val="none" w:sz="0" w:space="0" w:color="auto"/>
        <w:left w:val="none" w:sz="0" w:space="0" w:color="auto"/>
        <w:bottom w:val="none" w:sz="0" w:space="0" w:color="auto"/>
        <w:right w:val="none" w:sz="0" w:space="0" w:color="auto"/>
      </w:divBdr>
      <w:divsChild>
        <w:div w:id="115411541">
          <w:marLeft w:val="0"/>
          <w:marRight w:val="0"/>
          <w:marTop w:val="0"/>
          <w:marBottom w:val="0"/>
          <w:divBdr>
            <w:top w:val="none" w:sz="0" w:space="0" w:color="auto"/>
            <w:left w:val="none" w:sz="0" w:space="0" w:color="auto"/>
            <w:bottom w:val="none" w:sz="0" w:space="0" w:color="auto"/>
            <w:right w:val="none" w:sz="0" w:space="0" w:color="auto"/>
          </w:divBdr>
          <w:divsChild>
            <w:div w:id="135802973">
              <w:marLeft w:val="0"/>
              <w:marRight w:val="0"/>
              <w:marTop w:val="0"/>
              <w:marBottom w:val="0"/>
              <w:divBdr>
                <w:top w:val="none" w:sz="0" w:space="0" w:color="auto"/>
                <w:left w:val="none" w:sz="0" w:space="0" w:color="auto"/>
                <w:bottom w:val="none" w:sz="0" w:space="0" w:color="auto"/>
                <w:right w:val="none" w:sz="0" w:space="0" w:color="auto"/>
              </w:divBdr>
              <w:divsChild>
                <w:div w:id="15049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837733">
      <w:bodyDiv w:val="1"/>
      <w:marLeft w:val="0"/>
      <w:marRight w:val="0"/>
      <w:marTop w:val="0"/>
      <w:marBottom w:val="0"/>
      <w:divBdr>
        <w:top w:val="none" w:sz="0" w:space="0" w:color="auto"/>
        <w:left w:val="none" w:sz="0" w:space="0" w:color="auto"/>
        <w:bottom w:val="none" w:sz="0" w:space="0" w:color="auto"/>
        <w:right w:val="none" w:sz="0" w:space="0" w:color="auto"/>
      </w:divBdr>
    </w:div>
    <w:div w:id="1872910049">
      <w:bodyDiv w:val="1"/>
      <w:marLeft w:val="0"/>
      <w:marRight w:val="0"/>
      <w:marTop w:val="0"/>
      <w:marBottom w:val="0"/>
      <w:divBdr>
        <w:top w:val="none" w:sz="0" w:space="0" w:color="auto"/>
        <w:left w:val="none" w:sz="0" w:space="0" w:color="auto"/>
        <w:bottom w:val="none" w:sz="0" w:space="0" w:color="auto"/>
        <w:right w:val="none" w:sz="0" w:space="0" w:color="auto"/>
      </w:divBdr>
    </w:div>
    <w:div w:id="1884829224">
      <w:bodyDiv w:val="1"/>
      <w:marLeft w:val="0"/>
      <w:marRight w:val="0"/>
      <w:marTop w:val="0"/>
      <w:marBottom w:val="0"/>
      <w:divBdr>
        <w:top w:val="none" w:sz="0" w:space="0" w:color="auto"/>
        <w:left w:val="none" w:sz="0" w:space="0" w:color="auto"/>
        <w:bottom w:val="none" w:sz="0" w:space="0" w:color="auto"/>
        <w:right w:val="none" w:sz="0" w:space="0" w:color="auto"/>
      </w:divBdr>
    </w:div>
    <w:div w:id="1885171774">
      <w:bodyDiv w:val="1"/>
      <w:marLeft w:val="0"/>
      <w:marRight w:val="0"/>
      <w:marTop w:val="0"/>
      <w:marBottom w:val="0"/>
      <w:divBdr>
        <w:top w:val="none" w:sz="0" w:space="0" w:color="auto"/>
        <w:left w:val="none" w:sz="0" w:space="0" w:color="auto"/>
        <w:bottom w:val="none" w:sz="0" w:space="0" w:color="auto"/>
        <w:right w:val="none" w:sz="0" w:space="0" w:color="auto"/>
      </w:divBdr>
    </w:div>
    <w:div w:id="1906141504">
      <w:bodyDiv w:val="1"/>
      <w:marLeft w:val="0"/>
      <w:marRight w:val="0"/>
      <w:marTop w:val="0"/>
      <w:marBottom w:val="0"/>
      <w:divBdr>
        <w:top w:val="none" w:sz="0" w:space="0" w:color="auto"/>
        <w:left w:val="none" w:sz="0" w:space="0" w:color="auto"/>
        <w:bottom w:val="none" w:sz="0" w:space="0" w:color="auto"/>
        <w:right w:val="none" w:sz="0" w:space="0" w:color="auto"/>
      </w:divBdr>
    </w:div>
    <w:div w:id="1925722028">
      <w:bodyDiv w:val="1"/>
      <w:marLeft w:val="0"/>
      <w:marRight w:val="0"/>
      <w:marTop w:val="0"/>
      <w:marBottom w:val="0"/>
      <w:divBdr>
        <w:top w:val="none" w:sz="0" w:space="0" w:color="auto"/>
        <w:left w:val="none" w:sz="0" w:space="0" w:color="auto"/>
        <w:bottom w:val="none" w:sz="0" w:space="0" w:color="auto"/>
        <w:right w:val="none" w:sz="0" w:space="0" w:color="auto"/>
      </w:divBdr>
    </w:div>
    <w:div w:id="1939680458">
      <w:bodyDiv w:val="1"/>
      <w:marLeft w:val="0"/>
      <w:marRight w:val="0"/>
      <w:marTop w:val="0"/>
      <w:marBottom w:val="0"/>
      <w:divBdr>
        <w:top w:val="none" w:sz="0" w:space="0" w:color="auto"/>
        <w:left w:val="none" w:sz="0" w:space="0" w:color="auto"/>
        <w:bottom w:val="none" w:sz="0" w:space="0" w:color="auto"/>
        <w:right w:val="none" w:sz="0" w:space="0" w:color="auto"/>
      </w:divBdr>
      <w:divsChild>
        <w:div w:id="1436630580">
          <w:marLeft w:val="0"/>
          <w:marRight w:val="0"/>
          <w:marTop w:val="0"/>
          <w:marBottom w:val="0"/>
          <w:divBdr>
            <w:top w:val="none" w:sz="0" w:space="0" w:color="auto"/>
            <w:left w:val="none" w:sz="0" w:space="0" w:color="auto"/>
            <w:bottom w:val="none" w:sz="0" w:space="0" w:color="auto"/>
            <w:right w:val="none" w:sz="0" w:space="0" w:color="auto"/>
          </w:divBdr>
          <w:divsChild>
            <w:div w:id="1215314114">
              <w:marLeft w:val="0"/>
              <w:marRight w:val="0"/>
              <w:marTop w:val="0"/>
              <w:marBottom w:val="0"/>
              <w:divBdr>
                <w:top w:val="none" w:sz="0" w:space="0" w:color="auto"/>
                <w:left w:val="none" w:sz="0" w:space="0" w:color="auto"/>
                <w:bottom w:val="none" w:sz="0" w:space="0" w:color="auto"/>
                <w:right w:val="none" w:sz="0" w:space="0" w:color="auto"/>
              </w:divBdr>
              <w:divsChild>
                <w:div w:id="792140433">
                  <w:marLeft w:val="0"/>
                  <w:marRight w:val="0"/>
                  <w:marTop w:val="0"/>
                  <w:marBottom w:val="0"/>
                  <w:divBdr>
                    <w:top w:val="none" w:sz="0" w:space="0" w:color="auto"/>
                    <w:left w:val="none" w:sz="0" w:space="0" w:color="auto"/>
                    <w:bottom w:val="none" w:sz="0" w:space="0" w:color="auto"/>
                    <w:right w:val="none" w:sz="0" w:space="0" w:color="auto"/>
                  </w:divBdr>
                  <w:divsChild>
                    <w:div w:id="755901509">
                      <w:marLeft w:val="0"/>
                      <w:marRight w:val="0"/>
                      <w:marTop w:val="0"/>
                      <w:marBottom w:val="0"/>
                      <w:divBdr>
                        <w:top w:val="none" w:sz="0" w:space="0" w:color="auto"/>
                        <w:left w:val="none" w:sz="0" w:space="0" w:color="auto"/>
                        <w:bottom w:val="none" w:sz="0" w:space="0" w:color="auto"/>
                        <w:right w:val="none" w:sz="0" w:space="0" w:color="auto"/>
                      </w:divBdr>
                    </w:div>
                    <w:div w:id="185580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74061">
              <w:marLeft w:val="240"/>
              <w:marRight w:val="0"/>
              <w:marTop w:val="0"/>
              <w:marBottom w:val="0"/>
              <w:divBdr>
                <w:top w:val="none" w:sz="0" w:space="0" w:color="auto"/>
                <w:left w:val="none" w:sz="0" w:space="0" w:color="auto"/>
                <w:bottom w:val="none" w:sz="0" w:space="0" w:color="auto"/>
                <w:right w:val="none" w:sz="0" w:space="0" w:color="auto"/>
              </w:divBdr>
              <w:divsChild>
                <w:div w:id="64574055">
                  <w:marLeft w:val="0"/>
                  <w:marRight w:val="0"/>
                  <w:marTop w:val="0"/>
                  <w:marBottom w:val="0"/>
                  <w:divBdr>
                    <w:top w:val="none" w:sz="0" w:space="0" w:color="auto"/>
                    <w:left w:val="none" w:sz="0" w:space="0" w:color="auto"/>
                    <w:bottom w:val="none" w:sz="0" w:space="0" w:color="auto"/>
                    <w:right w:val="none" w:sz="0" w:space="0" w:color="auto"/>
                  </w:divBdr>
                </w:div>
                <w:div w:id="129016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124655">
      <w:bodyDiv w:val="1"/>
      <w:marLeft w:val="0"/>
      <w:marRight w:val="0"/>
      <w:marTop w:val="0"/>
      <w:marBottom w:val="0"/>
      <w:divBdr>
        <w:top w:val="none" w:sz="0" w:space="0" w:color="auto"/>
        <w:left w:val="none" w:sz="0" w:space="0" w:color="auto"/>
        <w:bottom w:val="none" w:sz="0" w:space="0" w:color="auto"/>
        <w:right w:val="none" w:sz="0" w:space="0" w:color="auto"/>
      </w:divBdr>
      <w:divsChild>
        <w:div w:id="451680094">
          <w:marLeft w:val="0"/>
          <w:marRight w:val="0"/>
          <w:marTop w:val="0"/>
          <w:marBottom w:val="0"/>
          <w:divBdr>
            <w:top w:val="none" w:sz="0" w:space="0" w:color="auto"/>
            <w:left w:val="none" w:sz="0" w:space="0" w:color="auto"/>
            <w:bottom w:val="none" w:sz="0" w:space="0" w:color="auto"/>
            <w:right w:val="none" w:sz="0" w:space="0" w:color="auto"/>
          </w:divBdr>
        </w:div>
      </w:divsChild>
    </w:div>
    <w:div w:id="1948459248">
      <w:bodyDiv w:val="1"/>
      <w:marLeft w:val="0"/>
      <w:marRight w:val="0"/>
      <w:marTop w:val="0"/>
      <w:marBottom w:val="0"/>
      <w:divBdr>
        <w:top w:val="none" w:sz="0" w:space="0" w:color="auto"/>
        <w:left w:val="none" w:sz="0" w:space="0" w:color="auto"/>
        <w:bottom w:val="none" w:sz="0" w:space="0" w:color="auto"/>
        <w:right w:val="none" w:sz="0" w:space="0" w:color="auto"/>
      </w:divBdr>
      <w:divsChild>
        <w:div w:id="1870483548">
          <w:marLeft w:val="0"/>
          <w:marRight w:val="0"/>
          <w:marTop w:val="0"/>
          <w:marBottom w:val="0"/>
          <w:divBdr>
            <w:top w:val="none" w:sz="0" w:space="0" w:color="auto"/>
            <w:left w:val="none" w:sz="0" w:space="0" w:color="auto"/>
            <w:bottom w:val="none" w:sz="0" w:space="0" w:color="auto"/>
            <w:right w:val="none" w:sz="0" w:space="0" w:color="auto"/>
          </w:divBdr>
          <w:divsChild>
            <w:div w:id="1589659275">
              <w:marLeft w:val="0"/>
              <w:marRight w:val="0"/>
              <w:marTop w:val="0"/>
              <w:marBottom w:val="0"/>
              <w:divBdr>
                <w:top w:val="none" w:sz="0" w:space="0" w:color="auto"/>
                <w:left w:val="none" w:sz="0" w:space="0" w:color="auto"/>
                <w:bottom w:val="none" w:sz="0" w:space="0" w:color="auto"/>
                <w:right w:val="none" w:sz="0" w:space="0" w:color="auto"/>
              </w:divBdr>
              <w:divsChild>
                <w:div w:id="5007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093823">
      <w:bodyDiv w:val="1"/>
      <w:marLeft w:val="0"/>
      <w:marRight w:val="0"/>
      <w:marTop w:val="0"/>
      <w:marBottom w:val="0"/>
      <w:divBdr>
        <w:top w:val="none" w:sz="0" w:space="0" w:color="auto"/>
        <w:left w:val="none" w:sz="0" w:space="0" w:color="auto"/>
        <w:bottom w:val="none" w:sz="0" w:space="0" w:color="auto"/>
        <w:right w:val="none" w:sz="0" w:space="0" w:color="auto"/>
      </w:divBdr>
    </w:div>
    <w:div w:id="1958489177">
      <w:bodyDiv w:val="1"/>
      <w:marLeft w:val="0"/>
      <w:marRight w:val="0"/>
      <w:marTop w:val="0"/>
      <w:marBottom w:val="0"/>
      <w:divBdr>
        <w:top w:val="none" w:sz="0" w:space="0" w:color="auto"/>
        <w:left w:val="none" w:sz="0" w:space="0" w:color="auto"/>
        <w:bottom w:val="none" w:sz="0" w:space="0" w:color="auto"/>
        <w:right w:val="none" w:sz="0" w:space="0" w:color="auto"/>
      </w:divBdr>
    </w:div>
    <w:div w:id="1980569457">
      <w:bodyDiv w:val="1"/>
      <w:marLeft w:val="0"/>
      <w:marRight w:val="0"/>
      <w:marTop w:val="0"/>
      <w:marBottom w:val="0"/>
      <w:divBdr>
        <w:top w:val="none" w:sz="0" w:space="0" w:color="auto"/>
        <w:left w:val="none" w:sz="0" w:space="0" w:color="auto"/>
        <w:bottom w:val="none" w:sz="0" w:space="0" w:color="auto"/>
        <w:right w:val="none" w:sz="0" w:space="0" w:color="auto"/>
      </w:divBdr>
    </w:div>
    <w:div w:id="2024627448">
      <w:bodyDiv w:val="1"/>
      <w:marLeft w:val="0"/>
      <w:marRight w:val="0"/>
      <w:marTop w:val="0"/>
      <w:marBottom w:val="0"/>
      <w:divBdr>
        <w:top w:val="none" w:sz="0" w:space="0" w:color="auto"/>
        <w:left w:val="none" w:sz="0" w:space="0" w:color="auto"/>
        <w:bottom w:val="none" w:sz="0" w:space="0" w:color="auto"/>
        <w:right w:val="none" w:sz="0" w:space="0" w:color="auto"/>
      </w:divBdr>
    </w:div>
    <w:div w:id="2042782305">
      <w:bodyDiv w:val="1"/>
      <w:marLeft w:val="0"/>
      <w:marRight w:val="0"/>
      <w:marTop w:val="0"/>
      <w:marBottom w:val="0"/>
      <w:divBdr>
        <w:top w:val="none" w:sz="0" w:space="0" w:color="auto"/>
        <w:left w:val="none" w:sz="0" w:space="0" w:color="auto"/>
        <w:bottom w:val="none" w:sz="0" w:space="0" w:color="auto"/>
        <w:right w:val="none" w:sz="0" w:space="0" w:color="auto"/>
      </w:divBdr>
    </w:div>
    <w:div w:id="2047829411">
      <w:bodyDiv w:val="1"/>
      <w:marLeft w:val="0"/>
      <w:marRight w:val="0"/>
      <w:marTop w:val="0"/>
      <w:marBottom w:val="0"/>
      <w:divBdr>
        <w:top w:val="none" w:sz="0" w:space="0" w:color="auto"/>
        <w:left w:val="none" w:sz="0" w:space="0" w:color="auto"/>
        <w:bottom w:val="none" w:sz="0" w:space="0" w:color="auto"/>
        <w:right w:val="none" w:sz="0" w:space="0" w:color="auto"/>
      </w:divBdr>
    </w:div>
    <w:div w:id="2051025953">
      <w:bodyDiv w:val="1"/>
      <w:marLeft w:val="0"/>
      <w:marRight w:val="0"/>
      <w:marTop w:val="0"/>
      <w:marBottom w:val="0"/>
      <w:divBdr>
        <w:top w:val="none" w:sz="0" w:space="0" w:color="auto"/>
        <w:left w:val="none" w:sz="0" w:space="0" w:color="auto"/>
        <w:bottom w:val="none" w:sz="0" w:space="0" w:color="auto"/>
        <w:right w:val="none" w:sz="0" w:space="0" w:color="auto"/>
      </w:divBdr>
    </w:div>
    <w:div w:id="2053532016">
      <w:bodyDiv w:val="1"/>
      <w:marLeft w:val="0"/>
      <w:marRight w:val="0"/>
      <w:marTop w:val="0"/>
      <w:marBottom w:val="0"/>
      <w:divBdr>
        <w:top w:val="none" w:sz="0" w:space="0" w:color="auto"/>
        <w:left w:val="none" w:sz="0" w:space="0" w:color="auto"/>
        <w:bottom w:val="none" w:sz="0" w:space="0" w:color="auto"/>
        <w:right w:val="none" w:sz="0" w:space="0" w:color="auto"/>
      </w:divBdr>
    </w:div>
    <w:div w:id="2064331395">
      <w:bodyDiv w:val="1"/>
      <w:marLeft w:val="0"/>
      <w:marRight w:val="0"/>
      <w:marTop w:val="0"/>
      <w:marBottom w:val="0"/>
      <w:divBdr>
        <w:top w:val="none" w:sz="0" w:space="0" w:color="auto"/>
        <w:left w:val="none" w:sz="0" w:space="0" w:color="auto"/>
        <w:bottom w:val="none" w:sz="0" w:space="0" w:color="auto"/>
        <w:right w:val="none" w:sz="0" w:space="0" w:color="auto"/>
      </w:divBdr>
      <w:divsChild>
        <w:div w:id="617758714">
          <w:marLeft w:val="0"/>
          <w:marRight w:val="0"/>
          <w:marTop w:val="0"/>
          <w:marBottom w:val="0"/>
          <w:divBdr>
            <w:top w:val="none" w:sz="0" w:space="0" w:color="auto"/>
            <w:left w:val="none" w:sz="0" w:space="0" w:color="auto"/>
            <w:bottom w:val="none" w:sz="0" w:space="0" w:color="auto"/>
            <w:right w:val="none" w:sz="0" w:space="0" w:color="auto"/>
          </w:divBdr>
          <w:divsChild>
            <w:div w:id="498078645">
              <w:marLeft w:val="0"/>
              <w:marRight w:val="0"/>
              <w:marTop w:val="0"/>
              <w:marBottom w:val="0"/>
              <w:divBdr>
                <w:top w:val="none" w:sz="0" w:space="0" w:color="auto"/>
                <w:left w:val="none" w:sz="0" w:space="0" w:color="auto"/>
                <w:bottom w:val="none" w:sz="0" w:space="0" w:color="auto"/>
                <w:right w:val="none" w:sz="0" w:space="0" w:color="auto"/>
              </w:divBdr>
              <w:divsChild>
                <w:div w:id="3401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27526">
      <w:bodyDiv w:val="1"/>
      <w:marLeft w:val="0"/>
      <w:marRight w:val="0"/>
      <w:marTop w:val="0"/>
      <w:marBottom w:val="0"/>
      <w:divBdr>
        <w:top w:val="none" w:sz="0" w:space="0" w:color="auto"/>
        <w:left w:val="none" w:sz="0" w:space="0" w:color="auto"/>
        <w:bottom w:val="none" w:sz="0" w:space="0" w:color="auto"/>
        <w:right w:val="none" w:sz="0" w:space="0" w:color="auto"/>
      </w:divBdr>
    </w:div>
    <w:div w:id="2081562136">
      <w:bodyDiv w:val="1"/>
      <w:marLeft w:val="0"/>
      <w:marRight w:val="0"/>
      <w:marTop w:val="0"/>
      <w:marBottom w:val="0"/>
      <w:divBdr>
        <w:top w:val="none" w:sz="0" w:space="0" w:color="auto"/>
        <w:left w:val="none" w:sz="0" w:space="0" w:color="auto"/>
        <w:bottom w:val="none" w:sz="0" w:space="0" w:color="auto"/>
        <w:right w:val="none" w:sz="0" w:space="0" w:color="auto"/>
      </w:divBdr>
    </w:div>
    <w:div w:id="2119642020">
      <w:bodyDiv w:val="1"/>
      <w:marLeft w:val="0"/>
      <w:marRight w:val="0"/>
      <w:marTop w:val="0"/>
      <w:marBottom w:val="0"/>
      <w:divBdr>
        <w:top w:val="none" w:sz="0" w:space="0" w:color="auto"/>
        <w:left w:val="none" w:sz="0" w:space="0" w:color="auto"/>
        <w:bottom w:val="none" w:sz="0" w:space="0" w:color="auto"/>
        <w:right w:val="none" w:sz="0" w:space="0" w:color="auto"/>
      </w:divBdr>
    </w:div>
    <w:div w:id="2120031151">
      <w:bodyDiv w:val="1"/>
      <w:marLeft w:val="0"/>
      <w:marRight w:val="0"/>
      <w:marTop w:val="0"/>
      <w:marBottom w:val="0"/>
      <w:divBdr>
        <w:top w:val="none" w:sz="0" w:space="0" w:color="auto"/>
        <w:left w:val="none" w:sz="0" w:space="0" w:color="auto"/>
        <w:bottom w:val="none" w:sz="0" w:space="0" w:color="auto"/>
        <w:right w:val="none" w:sz="0" w:space="0" w:color="auto"/>
      </w:divBdr>
    </w:div>
    <w:div w:id="2130199499">
      <w:bodyDiv w:val="1"/>
      <w:marLeft w:val="0"/>
      <w:marRight w:val="0"/>
      <w:marTop w:val="0"/>
      <w:marBottom w:val="0"/>
      <w:divBdr>
        <w:top w:val="none" w:sz="0" w:space="0" w:color="auto"/>
        <w:left w:val="none" w:sz="0" w:space="0" w:color="auto"/>
        <w:bottom w:val="none" w:sz="0" w:space="0" w:color="auto"/>
        <w:right w:val="none" w:sz="0" w:space="0" w:color="auto"/>
      </w:divBdr>
    </w:div>
    <w:div w:id="2134977685">
      <w:bodyDiv w:val="1"/>
      <w:marLeft w:val="0"/>
      <w:marRight w:val="0"/>
      <w:marTop w:val="0"/>
      <w:marBottom w:val="0"/>
      <w:divBdr>
        <w:top w:val="none" w:sz="0" w:space="0" w:color="auto"/>
        <w:left w:val="none" w:sz="0" w:space="0" w:color="auto"/>
        <w:bottom w:val="none" w:sz="0" w:space="0" w:color="auto"/>
        <w:right w:val="none" w:sz="0" w:space="0" w:color="auto"/>
      </w:divBdr>
    </w:div>
    <w:div w:id="2139103728">
      <w:bodyDiv w:val="1"/>
      <w:marLeft w:val="0"/>
      <w:marRight w:val="0"/>
      <w:marTop w:val="0"/>
      <w:marBottom w:val="0"/>
      <w:divBdr>
        <w:top w:val="none" w:sz="0" w:space="0" w:color="auto"/>
        <w:left w:val="none" w:sz="0" w:space="0" w:color="auto"/>
        <w:bottom w:val="none" w:sz="0" w:space="0" w:color="auto"/>
        <w:right w:val="none" w:sz="0" w:space="0" w:color="auto"/>
      </w:divBdr>
      <w:divsChild>
        <w:div w:id="444466573">
          <w:marLeft w:val="0"/>
          <w:marRight w:val="0"/>
          <w:marTop w:val="0"/>
          <w:marBottom w:val="0"/>
          <w:divBdr>
            <w:top w:val="none" w:sz="0" w:space="0" w:color="auto"/>
            <w:left w:val="none" w:sz="0" w:space="0" w:color="auto"/>
            <w:bottom w:val="none" w:sz="0" w:space="0" w:color="auto"/>
            <w:right w:val="none" w:sz="0" w:space="0" w:color="auto"/>
          </w:divBdr>
          <w:divsChild>
            <w:div w:id="175508038">
              <w:marLeft w:val="0"/>
              <w:marRight w:val="0"/>
              <w:marTop w:val="0"/>
              <w:marBottom w:val="0"/>
              <w:divBdr>
                <w:top w:val="none" w:sz="0" w:space="0" w:color="auto"/>
                <w:left w:val="none" w:sz="0" w:space="0" w:color="auto"/>
                <w:bottom w:val="none" w:sz="0" w:space="0" w:color="auto"/>
                <w:right w:val="none" w:sz="0" w:space="0" w:color="auto"/>
              </w:divBdr>
              <w:divsChild>
                <w:div w:id="104490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emf"/><Relationship Id="rId21" Type="http://schemas.openxmlformats.org/officeDocument/2006/relationships/image" Target="media/image8.emf"/><Relationship Id="rId42" Type="http://schemas.openxmlformats.org/officeDocument/2006/relationships/image" Target="media/image27.emf"/><Relationship Id="rId63" Type="http://schemas.openxmlformats.org/officeDocument/2006/relationships/image" Target="media/image44.emf"/><Relationship Id="rId84" Type="http://schemas.openxmlformats.org/officeDocument/2006/relationships/image" Target="media/image65.emf"/><Relationship Id="rId138" Type="http://schemas.openxmlformats.org/officeDocument/2006/relationships/image" Target="media/image116.emf"/><Relationship Id="rId107" Type="http://schemas.openxmlformats.org/officeDocument/2006/relationships/image" Target="media/image88.emf"/><Relationship Id="rId11" Type="http://schemas.openxmlformats.org/officeDocument/2006/relationships/hyperlink" Target="https://doi.org/10.3389/fpubh.2021.763621" TargetMode="External"/><Relationship Id="rId32" Type="http://schemas.openxmlformats.org/officeDocument/2006/relationships/image" Target="media/image17.emf"/><Relationship Id="rId53" Type="http://schemas.openxmlformats.org/officeDocument/2006/relationships/image" Target="media/image38.emf"/><Relationship Id="rId74" Type="http://schemas.openxmlformats.org/officeDocument/2006/relationships/image" Target="media/image55.emf"/><Relationship Id="rId128" Type="http://schemas.openxmlformats.org/officeDocument/2006/relationships/image" Target="media/image106.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76.emf"/><Relationship Id="rId22" Type="http://schemas.openxmlformats.org/officeDocument/2006/relationships/image" Target="media/image9.emf"/><Relationship Id="rId27" Type="http://schemas.openxmlformats.org/officeDocument/2006/relationships/image" Target="media/image12.emf"/><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5.emf"/><Relationship Id="rId69" Type="http://schemas.openxmlformats.org/officeDocument/2006/relationships/image" Target="media/image50.emf"/><Relationship Id="rId113" Type="http://schemas.openxmlformats.org/officeDocument/2006/relationships/image" Target="media/image94.emf"/><Relationship Id="rId118" Type="http://schemas.openxmlformats.org/officeDocument/2006/relationships/image" Target="media/image99.emf"/><Relationship Id="rId134" Type="http://schemas.openxmlformats.org/officeDocument/2006/relationships/image" Target="media/image112.emf"/><Relationship Id="rId139" Type="http://schemas.openxmlformats.org/officeDocument/2006/relationships/image" Target="media/image117.emf"/><Relationship Id="rId80" Type="http://schemas.openxmlformats.org/officeDocument/2006/relationships/image" Target="media/image61.emf"/><Relationship Id="rId85" Type="http://schemas.openxmlformats.org/officeDocument/2006/relationships/image" Target="media/image66.emf"/><Relationship Id="rId150" Type="http://schemas.openxmlformats.org/officeDocument/2006/relationships/footer" Target="footer11.xml"/><Relationship Id="rId12" Type="http://schemas.openxmlformats.org/officeDocument/2006/relationships/footer" Target="footer4.xml"/><Relationship Id="rId17" Type="http://schemas.openxmlformats.org/officeDocument/2006/relationships/image" Target="media/image4.emf"/><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0.emf"/><Relationship Id="rId103" Type="http://schemas.openxmlformats.org/officeDocument/2006/relationships/image" Target="media/image84.emf"/><Relationship Id="rId108" Type="http://schemas.openxmlformats.org/officeDocument/2006/relationships/image" Target="media/image89.emf"/><Relationship Id="rId124" Type="http://schemas.openxmlformats.org/officeDocument/2006/relationships/hyperlink" Target="https://doi.org/10.1109/ACCESS.2022.3156659" TargetMode="External"/><Relationship Id="rId129" Type="http://schemas.openxmlformats.org/officeDocument/2006/relationships/image" Target="media/image107.emf"/><Relationship Id="rId54" Type="http://schemas.openxmlformats.org/officeDocument/2006/relationships/image" Target="media/image39.emf"/><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72.emf"/><Relationship Id="rId96" Type="http://schemas.openxmlformats.org/officeDocument/2006/relationships/image" Target="media/image77.emf"/><Relationship Id="rId140" Type="http://schemas.openxmlformats.org/officeDocument/2006/relationships/image" Target="media/image118.emf"/><Relationship Id="rId145" Type="http://schemas.openxmlformats.org/officeDocument/2006/relationships/image" Target="media/image12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image" Target="media/image13.emf"/><Relationship Id="rId49" Type="http://schemas.openxmlformats.org/officeDocument/2006/relationships/image" Target="media/image34.emf"/><Relationship Id="rId114" Type="http://schemas.openxmlformats.org/officeDocument/2006/relationships/image" Target="media/image95.emf"/><Relationship Id="rId119" Type="http://schemas.openxmlformats.org/officeDocument/2006/relationships/image" Target="media/image100.emf"/><Relationship Id="rId44" Type="http://schemas.openxmlformats.org/officeDocument/2006/relationships/image" Target="media/image29.emf"/><Relationship Id="rId60" Type="http://schemas.openxmlformats.org/officeDocument/2006/relationships/image" Target="media/image41.emf"/><Relationship Id="rId65" Type="http://schemas.openxmlformats.org/officeDocument/2006/relationships/image" Target="media/image46.emf"/><Relationship Id="rId81" Type="http://schemas.openxmlformats.org/officeDocument/2006/relationships/image" Target="media/image62.emf"/><Relationship Id="rId86" Type="http://schemas.openxmlformats.org/officeDocument/2006/relationships/image" Target="media/image67.emf"/><Relationship Id="rId130" Type="http://schemas.openxmlformats.org/officeDocument/2006/relationships/image" Target="media/image108.emf"/><Relationship Id="rId135" Type="http://schemas.openxmlformats.org/officeDocument/2006/relationships/image" Target="media/image113.emf"/><Relationship Id="rId151" Type="http://schemas.openxmlformats.org/officeDocument/2006/relationships/footer" Target="footer12.xml"/><Relationship Id="rId13" Type="http://schemas.openxmlformats.org/officeDocument/2006/relationships/footer" Target="footer5.xml"/><Relationship Id="rId18" Type="http://schemas.openxmlformats.org/officeDocument/2006/relationships/image" Target="media/image5.emf"/><Relationship Id="rId39" Type="http://schemas.openxmlformats.org/officeDocument/2006/relationships/image" Target="media/image24.emf"/><Relationship Id="rId109" Type="http://schemas.openxmlformats.org/officeDocument/2006/relationships/image" Target="media/image90.emf"/><Relationship Id="rId34" Type="http://schemas.openxmlformats.org/officeDocument/2006/relationships/image" Target="media/image19.emf"/><Relationship Id="rId50" Type="http://schemas.openxmlformats.org/officeDocument/2006/relationships/image" Target="media/image35.emf"/><Relationship Id="rId55" Type="http://schemas.openxmlformats.org/officeDocument/2006/relationships/footer" Target="footer7.xml"/><Relationship Id="rId76" Type="http://schemas.openxmlformats.org/officeDocument/2006/relationships/image" Target="media/image57.emf"/><Relationship Id="rId97" Type="http://schemas.openxmlformats.org/officeDocument/2006/relationships/image" Target="media/image78.emf"/><Relationship Id="rId104" Type="http://schemas.openxmlformats.org/officeDocument/2006/relationships/image" Target="media/image85.emf"/><Relationship Id="rId120" Type="http://schemas.openxmlformats.org/officeDocument/2006/relationships/image" Target="media/image101.emf"/><Relationship Id="rId125" Type="http://schemas.openxmlformats.org/officeDocument/2006/relationships/footer" Target="footer10.xml"/><Relationship Id="rId141" Type="http://schemas.openxmlformats.org/officeDocument/2006/relationships/image" Target="media/image119.emf"/><Relationship Id="rId146" Type="http://schemas.openxmlformats.org/officeDocument/2006/relationships/image" Target="media/image124.emf"/><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11.emf"/><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image" Target="media/image47.emf"/><Relationship Id="rId87" Type="http://schemas.openxmlformats.org/officeDocument/2006/relationships/image" Target="media/image68.emf"/><Relationship Id="rId110" Type="http://schemas.openxmlformats.org/officeDocument/2006/relationships/image" Target="media/image91.emf"/><Relationship Id="rId115" Type="http://schemas.openxmlformats.org/officeDocument/2006/relationships/image" Target="media/image96.emf"/><Relationship Id="rId131" Type="http://schemas.openxmlformats.org/officeDocument/2006/relationships/image" Target="media/image109.emf"/><Relationship Id="rId136" Type="http://schemas.openxmlformats.org/officeDocument/2006/relationships/image" Target="media/image114.emf"/><Relationship Id="rId61" Type="http://schemas.openxmlformats.org/officeDocument/2006/relationships/image" Target="media/image42.emf"/><Relationship Id="rId82" Type="http://schemas.openxmlformats.org/officeDocument/2006/relationships/image" Target="media/image63.emf"/><Relationship Id="rId152" Type="http://schemas.openxmlformats.org/officeDocument/2006/relationships/footer" Target="footer13.xml"/><Relationship Id="rId19" Type="http://schemas.openxmlformats.org/officeDocument/2006/relationships/image" Target="media/image6.emf"/><Relationship Id="rId14" Type="http://schemas.openxmlformats.org/officeDocument/2006/relationships/image" Target="media/image1.emf"/><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hyperlink" Target="https://doi.org/10.2196%2F26608" TargetMode="External"/><Relationship Id="rId77" Type="http://schemas.openxmlformats.org/officeDocument/2006/relationships/image" Target="media/image58.emf"/><Relationship Id="rId100" Type="http://schemas.openxmlformats.org/officeDocument/2006/relationships/image" Target="media/image81.emf"/><Relationship Id="rId105" Type="http://schemas.openxmlformats.org/officeDocument/2006/relationships/image" Target="media/image86.emf"/><Relationship Id="rId126" Type="http://schemas.openxmlformats.org/officeDocument/2006/relationships/image" Target="media/image104.emf"/><Relationship Id="rId147" Type="http://schemas.openxmlformats.org/officeDocument/2006/relationships/image" Target="media/image125.emf"/><Relationship Id="rId8" Type="http://schemas.openxmlformats.org/officeDocument/2006/relationships/footer" Target="footer1.xml"/><Relationship Id="rId51" Type="http://schemas.openxmlformats.org/officeDocument/2006/relationships/image" Target="media/image36.emf"/><Relationship Id="rId72" Type="http://schemas.openxmlformats.org/officeDocument/2006/relationships/image" Target="media/image53.emf"/><Relationship Id="rId93" Type="http://schemas.openxmlformats.org/officeDocument/2006/relationships/image" Target="media/image74.emf"/><Relationship Id="rId98" Type="http://schemas.openxmlformats.org/officeDocument/2006/relationships/image" Target="media/image79.emf"/><Relationship Id="rId121" Type="http://schemas.openxmlformats.org/officeDocument/2006/relationships/image" Target="media/image102.emf"/><Relationship Id="rId142" Type="http://schemas.openxmlformats.org/officeDocument/2006/relationships/image" Target="media/image120.emf"/><Relationship Id="rId3" Type="http://schemas.openxmlformats.org/officeDocument/2006/relationships/styles" Target="styles.xml"/><Relationship Id="rId25" Type="http://schemas.openxmlformats.org/officeDocument/2006/relationships/hyperlink" Target="https://doi.org/10.3390/s22134975" TargetMode="External"/><Relationship Id="rId46" Type="http://schemas.openxmlformats.org/officeDocument/2006/relationships/image" Target="media/image31.emf"/><Relationship Id="rId67" Type="http://schemas.openxmlformats.org/officeDocument/2006/relationships/image" Target="media/image48.emf"/><Relationship Id="rId116" Type="http://schemas.openxmlformats.org/officeDocument/2006/relationships/image" Target="media/image97.emf"/><Relationship Id="rId137" Type="http://schemas.openxmlformats.org/officeDocument/2006/relationships/image" Target="media/image115.emf"/><Relationship Id="rId20" Type="http://schemas.openxmlformats.org/officeDocument/2006/relationships/image" Target="media/image7.emf"/><Relationship Id="rId41" Type="http://schemas.openxmlformats.org/officeDocument/2006/relationships/image" Target="media/image26.emf"/><Relationship Id="rId62" Type="http://schemas.openxmlformats.org/officeDocument/2006/relationships/image" Target="media/image43.emf"/><Relationship Id="rId83" Type="http://schemas.openxmlformats.org/officeDocument/2006/relationships/image" Target="media/image64.emf"/><Relationship Id="rId88" Type="http://schemas.openxmlformats.org/officeDocument/2006/relationships/image" Target="media/image69.emf"/><Relationship Id="rId111" Type="http://schemas.openxmlformats.org/officeDocument/2006/relationships/image" Target="media/image92.emf"/><Relationship Id="rId132" Type="http://schemas.openxmlformats.org/officeDocument/2006/relationships/image" Target="media/image110.emf"/><Relationship Id="rId153" Type="http://schemas.openxmlformats.org/officeDocument/2006/relationships/fontTable" Target="fontTable.xml"/><Relationship Id="rId15" Type="http://schemas.openxmlformats.org/officeDocument/2006/relationships/image" Target="media/image2.emf"/><Relationship Id="rId36" Type="http://schemas.openxmlformats.org/officeDocument/2006/relationships/image" Target="media/image21.emf"/><Relationship Id="rId57" Type="http://schemas.openxmlformats.org/officeDocument/2006/relationships/header" Target="header1.xml"/><Relationship Id="rId106" Type="http://schemas.openxmlformats.org/officeDocument/2006/relationships/image" Target="media/image87.emf"/><Relationship Id="rId127" Type="http://schemas.openxmlformats.org/officeDocument/2006/relationships/image" Target="media/image105.emf"/><Relationship Id="rId10" Type="http://schemas.openxmlformats.org/officeDocument/2006/relationships/footer" Target="footer3.xml"/><Relationship Id="rId31" Type="http://schemas.openxmlformats.org/officeDocument/2006/relationships/image" Target="media/image16.emf"/><Relationship Id="rId52" Type="http://schemas.openxmlformats.org/officeDocument/2006/relationships/image" Target="media/image37.emf"/><Relationship Id="rId73" Type="http://schemas.openxmlformats.org/officeDocument/2006/relationships/image" Target="media/image54.emf"/><Relationship Id="rId78" Type="http://schemas.openxmlformats.org/officeDocument/2006/relationships/image" Target="media/image59.emf"/><Relationship Id="rId94" Type="http://schemas.openxmlformats.org/officeDocument/2006/relationships/image" Target="media/image75.emf"/><Relationship Id="rId99" Type="http://schemas.openxmlformats.org/officeDocument/2006/relationships/image" Target="media/image80.emf"/><Relationship Id="rId101" Type="http://schemas.openxmlformats.org/officeDocument/2006/relationships/image" Target="media/image82.emf"/><Relationship Id="rId122" Type="http://schemas.openxmlformats.org/officeDocument/2006/relationships/image" Target="media/image103.emf"/><Relationship Id="rId143" Type="http://schemas.openxmlformats.org/officeDocument/2006/relationships/image" Target="media/image121.emf"/><Relationship Id="rId148" Type="http://schemas.openxmlformats.org/officeDocument/2006/relationships/image" Target="media/image126.emf"/><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6.xml"/><Relationship Id="rId47" Type="http://schemas.openxmlformats.org/officeDocument/2006/relationships/image" Target="media/image32.emf"/><Relationship Id="rId68" Type="http://schemas.openxmlformats.org/officeDocument/2006/relationships/image" Target="media/image49.emf"/><Relationship Id="rId89" Type="http://schemas.openxmlformats.org/officeDocument/2006/relationships/image" Target="media/image70.emf"/><Relationship Id="rId112" Type="http://schemas.openxmlformats.org/officeDocument/2006/relationships/image" Target="media/image93.emf"/><Relationship Id="rId133" Type="http://schemas.openxmlformats.org/officeDocument/2006/relationships/image" Target="media/image111.emf"/><Relationship Id="rId154" Type="http://schemas.openxmlformats.org/officeDocument/2006/relationships/theme" Target="theme/theme1.xml"/><Relationship Id="rId16" Type="http://schemas.openxmlformats.org/officeDocument/2006/relationships/image" Target="media/image3.emf"/><Relationship Id="rId37" Type="http://schemas.openxmlformats.org/officeDocument/2006/relationships/image" Target="media/image22.emf"/><Relationship Id="rId58" Type="http://schemas.openxmlformats.org/officeDocument/2006/relationships/footer" Target="footer8.xml"/><Relationship Id="rId79" Type="http://schemas.openxmlformats.org/officeDocument/2006/relationships/image" Target="media/image60.emf"/><Relationship Id="rId102" Type="http://schemas.openxmlformats.org/officeDocument/2006/relationships/image" Target="media/image83.emf"/><Relationship Id="rId123" Type="http://schemas.openxmlformats.org/officeDocument/2006/relationships/footer" Target="footer9.xml"/><Relationship Id="rId144" Type="http://schemas.openxmlformats.org/officeDocument/2006/relationships/image" Target="media/image122.emf"/><Relationship Id="rId90" Type="http://schemas.openxmlformats.org/officeDocument/2006/relationships/image" Target="media/image7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E5775D58-82E0-4942-9AEA-3934EEBD21B4}">
  <we:reference id="wa200001011" version="1.2.0.0" store="en-US" storeType="OMEX"/>
  <we:alternateReferences>
    <we:reference id="wa200001011" version="1.2.0.0"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5024E4-0427-C340-9806-D8738BB35404}">
  <we:reference id="wa200000368" version="1.0.0.0" store="en-US" storeType="OMEX"/>
  <we:alternateReferences>
    <we:reference id="wa200000368" version="1.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EC6B3-7A78-4E3E-8DED-A8A5DE3DB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157</Pages>
  <Words>44949</Words>
  <Characters>256212</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Sahandi Far, Mehran</dc:creator>
  <cp:keywords/>
  <dc:description/>
  <cp:lastModifiedBy>Sahandi Far, Mehran</cp:lastModifiedBy>
  <cp:revision>4</cp:revision>
  <cp:lastPrinted>2023-08-24T08:13:00Z</cp:lastPrinted>
  <dcterms:created xsi:type="dcterms:W3CDTF">2023-08-24T08:13:00Z</dcterms:created>
  <dcterms:modified xsi:type="dcterms:W3CDTF">2023-08-24T10:21:00Z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Id">
    <vt:lpwstr>http://www.zotero.org/styles/vancouver</vt:lpwstr>
  </property>
  <property fmtid="{D5CDD505-2E9C-101B-9397-08002B2CF9AE}" pid="3" name="InsertAsFootnote">
    <vt:lpwstr>0</vt:lpwstr>
  </property>
  <property fmtid="{D5CDD505-2E9C-101B-9397-08002B2CF9AE}" pid="4" name="grammarly_documentId">
    <vt:lpwstr>documentId_8639</vt:lpwstr>
  </property>
  <property fmtid="{D5CDD505-2E9C-101B-9397-08002B2CF9AE}" pid="5" name="grammarly_documentContext">
    <vt:lpwstr>{"goals":["inform","describe"],"domain":"academic","emotions":["confident","analytical"],"dialect":"british","style":"formal","audience":"expert"}</vt:lpwstr>
  </property>
</Properties>
</file>